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DD" w:rsidRPr="007A7AFD" w:rsidRDefault="008378DD" w:rsidP="00B00C44">
      <w:pPr>
        <w:jc w:val="center"/>
        <w:rPr>
          <w:b/>
          <w:sz w:val="28"/>
          <w:szCs w:val="28"/>
        </w:rPr>
      </w:pPr>
      <w:r w:rsidRPr="007A7AFD">
        <w:rPr>
          <w:b/>
          <w:sz w:val="28"/>
          <w:szCs w:val="28"/>
        </w:rPr>
        <w:t xml:space="preserve">CONSULTATION </w:t>
      </w:r>
      <w:r w:rsidR="00C85FC9">
        <w:rPr>
          <w:b/>
          <w:sz w:val="28"/>
          <w:szCs w:val="28"/>
        </w:rPr>
        <w:t xml:space="preserve">RESPONSE </w:t>
      </w:r>
      <w:r w:rsidRPr="007A7AFD">
        <w:rPr>
          <w:b/>
          <w:sz w:val="28"/>
          <w:szCs w:val="28"/>
        </w:rPr>
        <w:t>FORM</w:t>
      </w:r>
    </w:p>
    <w:p w:rsidR="008378DD" w:rsidRPr="007A7AFD" w:rsidRDefault="008378DD" w:rsidP="008378DD">
      <w:pPr>
        <w:rPr>
          <w:b/>
          <w:highlight w:val="yellow"/>
        </w:rPr>
      </w:pPr>
    </w:p>
    <w:p w:rsidR="008378DD" w:rsidRDefault="00EF326F" w:rsidP="00B00C44">
      <w:pPr>
        <w:jc w:val="center"/>
        <w:rPr>
          <w:b/>
          <w:sz w:val="28"/>
          <w:szCs w:val="28"/>
        </w:rPr>
      </w:pPr>
      <w:r>
        <w:rPr>
          <w:b/>
          <w:sz w:val="28"/>
          <w:szCs w:val="28"/>
        </w:rPr>
        <w:t>Call for evidence on housing d</w:t>
      </w:r>
      <w:r w:rsidR="003B75C3">
        <w:rPr>
          <w:b/>
          <w:sz w:val="28"/>
          <w:szCs w:val="28"/>
        </w:rPr>
        <w:t xml:space="preserve">elivery </w:t>
      </w:r>
      <w:r>
        <w:rPr>
          <w:b/>
          <w:sz w:val="28"/>
          <w:szCs w:val="28"/>
        </w:rPr>
        <w:t>through the planning system</w:t>
      </w:r>
    </w:p>
    <w:p w:rsidR="008378DD" w:rsidRDefault="008378DD" w:rsidP="008378DD">
      <w:pPr>
        <w:rPr>
          <w:b/>
          <w:highlight w:val="yellow"/>
        </w:rPr>
      </w:pPr>
    </w:p>
    <w:p w:rsidR="003B75C3" w:rsidRPr="003B75C3" w:rsidRDefault="00B56344" w:rsidP="003B75C3">
      <w:r>
        <w:t>This</w:t>
      </w:r>
      <w:r w:rsidRPr="003B75C3">
        <w:t xml:space="preserve"> ‘Call for Evidence’ </w:t>
      </w:r>
      <w:r>
        <w:t xml:space="preserve">is </w:t>
      </w:r>
      <w:r w:rsidR="003B75C3" w:rsidRPr="003B75C3">
        <w:t xml:space="preserve">seeking your views on how to improve the delivery of Local Development Plan (LDP) housing requirements, including looking at the interrelationship with the measuring of the housing land supply needed to meet these requirements. </w:t>
      </w:r>
    </w:p>
    <w:p w:rsidR="008378DD" w:rsidRPr="00DB2AD2" w:rsidRDefault="008378DD" w:rsidP="008378DD">
      <w:pPr>
        <w:rPr>
          <w:rFonts w:cs="Arial"/>
          <w:strike/>
          <w:color w:val="000000"/>
          <w:highlight w:val="yellow"/>
        </w:rPr>
      </w:pPr>
    </w:p>
    <w:p w:rsidR="00266B15" w:rsidRDefault="008378DD" w:rsidP="008378DD">
      <w:pPr>
        <w:rPr>
          <w:rFonts w:cs="Arial"/>
          <w:color w:val="000000"/>
        </w:rPr>
      </w:pPr>
      <w:r w:rsidRPr="007A7AFD">
        <w:rPr>
          <w:rFonts w:cs="Arial"/>
        </w:rPr>
        <w:t>If you have any queries on this consultation, please e</w:t>
      </w:r>
      <w:r w:rsidRPr="007A7AFD">
        <w:rPr>
          <w:rFonts w:cs="Arial"/>
          <w:color w:val="000000"/>
        </w:rPr>
        <w:t>mail:</w:t>
      </w:r>
      <w:r w:rsidR="00134D1C">
        <w:rPr>
          <w:rFonts w:cs="Arial"/>
          <w:color w:val="000000"/>
        </w:rPr>
        <w:t xml:space="preserve"> </w:t>
      </w:r>
    </w:p>
    <w:p w:rsidR="008378DD" w:rsidRPr="00C050E8" w:rsidRDefault="00473634" w:rsidP="008378DD">
      <w:pPr>
        <w:rPr>
          <w:rFonts w:cs="Arial"/>
          <w:color w:val="000000"/>
        </w:rPr>
      </w:pPr>
      <w:hyperlink r:id="rId9" w:history="1">
        <w:r w:rsidR="00266B15" w:rsidRPr="00266B15">
          <w:rPr>
            <w:rStyle w:val="Hyperlink"/>
            <w:rFonts w:cs="Arial"/>
          </w:rPr>
          <w:t>planconsultations-j@gov.wales</w:t>
        </w:r>
      </w:hyperlink>
      <w:r w:rsidR="003B75C3">
        <w:rPr>
          <w:rFonts w:cs="Arial"/>
          <w:color w:val="000000"/>
        </w:rPr>
        <w:t xml:space="preserve"> </w:t>
      </w:r>
      <w:r w:rsidR="008378DD">
        <w:rPr>
          <w:rFonts w:cs="Arial"/>
          <w:color w:val="000000"/>
        </w:rPr>
        <w:t xml:space="preserve">or telephone </w:t>
      </w:r>
      <w:r w:rsidR="00266B15" w:rsidRPr="00266B15">
        <w:rPr>
          <w:rFonts w:cs="Arial"/>
          <w:color w:val="000000"/>
        </w:rPr>
        <w:t xml:space="preserve">03000 253882 </w:t>
      </w:r>
      <w:r w:rsidR="00266B15">
        <w:rPr>
          <w:rFonts w:cs="Arial"/>
          <w:color w:val="000000"/>
        </w:rPr>
        <w:t xml:space="preserve">or </w:t>
      </w:r>
      <w:r w:rsidR="008378DD" w:rsidRPr="00266B15">
        <w:rPr>
          <w:rFonts w:cs="Arial"/>
          <w:color w:val="000000"/>
        </w:rPr>
        <w:t>03000</w:t>
      </w:r>
      <w:r w:rsidR="00CC03DB">
        <w:rPr>
          <w:rFonts w:cs="Arial"/>
          <w:color w:val="000000"/>
        </w:rPr>
        <w:t xml:space="preserve"> </w:t>
      </w:r>
      <w:r w:rsidR="008378DD" w:rsidRPr="00266B15">
        <w:rPr>
          <w:rFonts w:cs="Arial"/>
          <w:color w:val="000000"/>
        </w:rPr>
        <w:t>25</w:t>
      </w:r>
      <w:r w:rsidR="00134D1C" w:rsidRPr="00266B15">
        <w:rPr>
          <w:rFonts w:cs="Arial"/>
          <w:color w:val="000000"/>
        </w:rPr>
        <w:t>6802</w:t>
      </w:r>
      <w:r w:rsidR="008378DD">
        <w:rPr>
          <w:rFonts w:cs="Arial"/>
          <w:color w:val="000000"/>
        </w:rPr>
        <w:t>.</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8378DD" w:rsidRPr="007A7AFD" w:rsidTr="00990460">
        <w:trPr>
          <w:trHeight w:val="427"/>
        </w:trPr>
        <w:tc>
          <w:tcPr>
            <w:tcW w:w="9400" w:type="dxa"/>
            <w:shd w:val="clear" w:color="000000" w:fill="B2A1C7" w:themeFill="accent4" w:themeFillTint="99"/>
            <w:vAlign w:val="center"/>
          </w:tcPr>
          <w:p w:rsidR="008378DD" w:rsidRPr="00394BB7" w:rsidRDefault="00B56344" w:rsidP="00B56344">
            <w:pPr>
              <w:jc w:val="center"/>
              <w:rPr>
                <w:rFonts w:cs="Arial"/>
                <w:b/>
              </w:rPr>
            </w:pPr>
            <w:r w:rsidRPr="00B56344">
              <w:rPr>
                <w:rFonts w:cs="Arial"/>
                <w:b/>
              </w:rPr>
              <w:t>General Data Protection Regulation (GDPR)</w:t>
            </w:r>
          </w:p>
        </w:tc>
      </w:tr>
      <w:tr w:rsidR="00023BD5" w:rsidRPr="007A7AFD" w:rsidTr="00546CD7">
        <w:trPr>
          <w:trHeight w:val="427"/>
        </w:trPr>
        <w:tc>
          <w:tcPr>
            <w:tcW w:w="9400" w:type="dxa"/>
          </w:tcPr>
          <w:p w:rsidR="00023BD5" w:rsidRDefault="00023BD5" w:rsidP="00546CD7">
            <w:pPr>
              <w:jc w:val="both"/>
              <w:rPr>
                <w:rFonts w:cs="Arial"/>
                <w:color w:val="000000"/>
              </w:rPr>
            </w:pPr>
          </w:p>
          <w:p w:rsidR="00B56344" w:rsidRPr="00B56344" w:rsidRDefault="00B56344" w:rsidP="00B56344">
            <w:pPr>
              <w:rPr>
                <w:rFonts w:cs="Arial"/>
                <w:color w:val="000000"/>
                <w:lang w:val="en"/>
              </w:rPr>
            </w:pPr>
            <w:r w:rsidRPr="00B56344">
              <w:rPr>
                <w:rFonts w:cs="Arial"/>
                <w:color w:val="000000"/>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B56344">
              <w:rPr>
                <w:rFonts w:cs="Arial"/>
                <w:color w:val="000000"/>
                <w:lang w:val="en"/>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rsidR="00B56344" w:rsidRPr="00B56344" w:rsidRDefault="00B56344" w:rsidP="00B56344">
            <w:pPr>
              <w:rPr>
                <w:rFonts w:cs="Arial"/>
                <w:color w:val="000000"/>
              </w:rPr>
            </w:pPr>
            <w:r w:rsidRPr="00B56344">
              <w:rPr>
                <w:rFonts w:cs="Arial"/>
                <w:color w:val="000000"/>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rsidR="00B56344" w:rsidRPr="00B56344" w:rsidRDefault="00B56344" w:rsidP="00B56344">
            <w:pPr>
              <w:rPr>
                <w:rFonts w:cs="Arial"/>
                <w:color w:val="000000"/>
              </w:rPr>
            </w:pPr>
            <w:r w:rsidRPr="00B56344">
              <w:rPr>
                <w:rFonts w:cs="Arial"/>
                <w:color w:val="000000"/>
              </w:rPr>
              <w:t>You should also be aware of our responsibilities under Freedom of Information legislation</w:t>
            </w:r>
          </w:p>
          <w:p w:rsidR="00B56344" w:rsidRDefault="00B56344" w:rsidP="00B56344">
            <w:pPr>
              <w:rPr>
                <w:rFonts w:cs="Arial"/>
                <w:color w:val="000000"/>
                <w:lang w:val="en"/>
              </w:rPr>
            </w:pPr>
          </w:p>
          <w:p w:rsidR="00B56344" w:rsidRPr="00B56344" w:rsidRDefault="00B56344" w:rsidP="00B56344">
            <w:pPr>
              <w:rPr>
                <w:rFonts w:cs="Arial"/>
                <w:color w:val="000000"/>
                <w:lang w:val="en"/>
              </w:rPr>
            </w:pPr>
            <w:r w:rsidRPr="00B56344">
              <w:rPr>
                <w:rFonts w:cs="Arial"/>
                <w:color w:val="000000"/>
                <w:lang w:val="en"/>
              </w:rPr>
              <w:t>If your details are published as part of the consultation response then these published reports will be retained indefinitely. Any of your data held otherwise by Welsh Government will be kept for no more than three years.</w:t>
            </w:r>
          </w:p>
          <w:p w:rsidR="00B56344" w:rsidRPr="00B56344" w:rsidRDefault="00B56344" w:rsidP="00B56344">
            <w:pPr>
              <w:rPr>
                <w:rFonts w:cs="Arial"/>
                <w:color w:val="000000"/>
              </w:rPr>
            </w:pPr>
          </w:p>
          <w:p w:rsidR="00B56344" w:rsidRPr="00B56344" w:rsidRDefault="00B56344" w:rsidP="00B56344">
            <w:pPr>
              <w:rPr>
                <w:rFonts w:cs="Arial"/>
                <w:color w:val="000000"/>
              </w:rPr>
            </w:pPr>
            <w:r w:rsidRPr="00B56344">
              <w:rPr>
                <w:rFonts w:cs="Arial"/>
                <w:color w:val="000000"/>
              </w:rPr>
              <w:t>Your rights</w:t>
            </w:r>
          </w:p>
          <w:p w:rsidR="00B56344" w:rsidRPr="00B56344" w:rsidRDefault="00B56344" w:rsidP="00B56344">
            <w:pPr>
              <w:rPr>
                <w:rFonts w:cs="Arial"/>
                <w:color w:val="000000"/>
              </w:rPr>
            </w:pPr>
            <w:r w:rsidRPr="00B56344">
              <w:rPr>
                <w:rFonts w:cs="Arial"/>
                <w:color w:val="000000"/>
              </w:rPr>
              <w:t>Under the data protection legislation, you have the right:</w:t>
            </w:r>
          </w:p>
          <w:p w:rsidR="00B56344" w:rsidRPr="00B56344" w:rsidRDefault="00B56344" w:rsidP="00B56344">
            <w:pPr>
              <w:numPr>
                <w:ilvl w:val="0"/>
                <w:numId w:val="18"/>
              </w:numPr>
              <w:rPr>
                <w:rFonts w:cs="Arial"/>
                <w:color w:val="000000"/>
                <w:lang w:val="en"/>
              </w:rPr>
            </w:pPr>
            <w:r w:rsidRPr="00B56344">
              <w:rPr>
                <w:rFonts w:cs="Arial"/>
                <w:color w:val="000000"/>
                <w:lang w:val="en"/>
              </w:rPr>
              <w:t>to be informed of the personal data holds about you and to access it</w:t>
            </w:r>
          </w:p>
          <w:p w:rsidR="00B56344" w:rsidRPr="00B56344" w:rsidRDefault="00B56344" w:rsidP="00B56344">
            <w:pPr>
              <w:numPr>
                <w:ilvl w:val="0"/>
                <w:numId w:val="18"/>
              </w:numPr>
              <w:rPr>
                <w:rFonts w:cs="Arial"/>
                <w:color w:val="000000"/>
              </w:rPr>
            </w:pPr>
            <w:r w:rsidRPr="00B56344">
              <w:rPr>
                <w:rFonts w:cs="Arial"/>
                <w:color w:val="000000"/>
              </w:rPr>
              <w:t>to require us to rectify inaccuracies in that data</w:t>
            </w:r>
          </w:p>
          <w:p w:rsidR="00B56344" w:rsidRPr="00B56344" w:rsidRDefault="00B56344" w:rsidP="00B56344">
            <w:pPr>
              <w:numPr>
                <w:ilvl w:val="0"/>
                <w:numId w:val="18"/>
              </w:numPr>
              <w:rPr>
                <w:rFonts w:cs="Arial"/>
                <w:color w:val="000000"/>
              </w:rPr>
            </w:pPr>
            <w:r w:rsidRPr="00B56344">
              <w:rPr>
                <w:rFonts w:cs="Arial"/>
                <w:color w:val="000000"/>
              </w:rPr>
              <w:t>to (in certain circumstances) object to or restrict processing</w:t>
            </w:r>
          </w:p>
          <w:p w:rsidR="00B56344" w:rsidRPr="00B56344" w:rsidRDefault="00B56344" w:rsidP="00B56344">
            <w:pPr>
              <w:numPr>
                <w:ilvl w:val="0"/>
                <w:numId w:val="18"/>
              </w:numPr>
              <w:rPr>
                <w:rFonts w:cs="Arial"/>
                <w:color w:val="000000"/>
              </w:rPr>
            </w:pPr>
            <w:r w:rsidRPr="00B56344">
              <w:rPr>
                <w:rFonts w:cs="Arial"/>
                <w:color w:val="000000"/>
              </w:rPr>
              <w:t>for (in certain circumstances) your data to be ‘erased’</w:t>
            </w:r>
          </w:p>
          <w:p w:rsidR="00B56344" w:rsidRPr="00B56344" w:rsidRDefault="00B56344" w:rsidP="00B56344">
            <w:pPr>
              <w:numPr>
                <w:ilvl w:val="0"/>
                <w:numId w:val="18"/>
              </w:numPr>
              <w:rPr>
                <w:rFonts w:cs="Arial"/>
                <w:color w:val="000000"/>
                <w:lang w:val="en"/>
              </w:rPr>
            </w:pPr>
            <w:r w:rsidRPr="00B56344">
              <w:rPr>
                <w:rFonts w:cs="Arial"/>
                <w:color w:val="000000"/>
                <w:lang w:val="en"/>
              </w:rPr>
              <w:t>to (in certain circumstances) data portability</w:t>
            </w:r>
          </w:p>
          <w:p w:rsidR="00023BD5" w:rsidRPr="00B56344" w:rsidRDefault="00B56344" w:rsidP="00B56344">
            <w:pPr>
              <w:pStyle w:val="ListParagraph"/>
              <w:numPr>
                <w:ilvl w:val="0"/>
                <w:numId w:val="18"/>
              </w:numPr>
              <w:rPr>
                <w:rFonts w:cs="Arial"/>
                <w:color w:val="000000"/>
              </w:rPr>
            </w:pPr>
            <w:r w:rsidRPr="00B56344">
              <w:rPr>
                <w:rFonts w:cs="Arial"/>
                <w:color w:val="000000"/>
              </w:rPr>
              <w:t>to lodge a complaint with the Information Commissioner’s Office (ICO) who is our independent regulator for data protection.</w:t>
            </w:r>
          </w:p>
        </w:tc>
      </w:tr>
    </w:tbl>
    <w:p w:rsidR="00B56344" w:rsidRPr="00B56344" w:rsidRDefault="00B56344" w:rsidP="00B56344">
      <w:r w:rsidRPr="00B56344">
        <w:lastRenderedPageBreak/>
        <w:t>For further details about the information the Welsh Government holds and its use, or if you want to exercise your rights under the GDPR, please see contact details below:</w:t>
      </w:r>
    </w:p>
    <w:p w:rsidR="00B56344" w:rsidRDefault="00B56344" w:rsidP="00B56344"/>
    <w:p w:rsidR="00B56344" w:rsidRPr="00B56344" w:rsidRDefault="00B56344" w:rsidP="00B56344">
      <w:r w:rsidRPr="00B56344">
        <w:t>Data Protection Officer:</w:t>
      </w:r>
    </w:p>
    <w:p w:rsidR="00B56344" w:rsidRPr="00B56344" w:rsidRDefault="00B56344" w:rsidP="00B56344">
      <w:r w:rsidRPr="00B56344">
        <w:t>Welsh Government</w:t>
      </w:r>
    </w:p>
    <w:p w:rsidR="00B56344" w:rsidRPr="00B56344" w:rsidRDefault="00B56344" w:rsidP="00B56344">
      <w:r w:rsidRPr="00B56344">
        <w:t>Cathays Park</w:t>
      </w:r>
    </w:p>
    <w:p w:rsidR="00B56344" w:rsidRPr="00B56344" w:rsidRDefault="00B56344" w:rsidP="00B56344">
      <w:r w:rsidRPr="00B56344">
        <w:t>CARDIFF</w:t>
      </w:r>
    </w:p>
    <w:p w:rsidR="00B56344" w:rsidRPr="00B56344" w:rsidRDefault="00B56344" w:rsidP="00B56344">
      <w:r w:rsidRPr="00B56344">
        <w:t>CF10 3NQ</w:t>
      </w:r>
    </w:p>
    <w:p w:rsidR="00B56344" w:rsidRPr="00B56344" w:rsidRDefault="00B56344" w:rsidP="00B56344"/>
    <w:p w:rsidR="00B56344" w:rsidRPr="00B56344" w:rsidRDefault="00B56344" w:rsidP="00B56344">
      <w:r w:rsidRPr="00B56344">
        <w:t xml:space="preserve">e-mail: </w:t>
      </w:r>
      <w:hyperlink r:id="rId10" w:history="1">
        <w:r w:rsidRPr="00B56344">
          <w:rPr>
            <w:rStyle w:val="Hyperlink"/>
          </w:rPr>
          <w:t>Data.ProtectionOfficer@gov.wales</w:t>
        </w:r>
      </w:hyperlink>
    </w:p>
    <w:p w:rsidR="008378DD" w:rsidRDefault="008378DD" w:rsidP="008378DD">
      <w:pPr>
        <w:rPr>
          <w:b/>
          <w:highlight w:val="yellow"/>
        </w:rPr>
      </w:pPr>
    </w:p>
    <w:p w:rsidR="003A5747" w:rsidRPr="007A7AFD" w:rsidRDefault="003A5747" w:rsidP="008378DD">
      <w:pPr>
        <w:rPr>
          <w:b/>
          <w:highlight w:val="yellow"/>
        </w:rPr>
      </w:pPr>
    </w:p>
    <w:p w:rsidR="00B56344" w:rsidRPr="00B56344" w:rsidRDefault="00B56344" w:rsidP="00B56344">
      <w:r w:rsidRPr="00B56344">
        <w:t xml:space="preserve">The contact details for the Information Commissioner’s Office are: </w:t>
      </w:r>
    </w:p>
    <w:p w:rsidR="00B56344" w:rsidRDefault="00B56344" w:rsidP="00B56344"/>
    <w:p w:rsidR="00B56344" w:rsidRPr="00B56344" w:rsidRDefault="00B56344" w:rsidP="00B56344">
      <w:r w:rsidRPr="00B56344">
        <w:t>Wycliffe House</w:t>
      </w:r>
    </w:p>
    <w:p w:rsidR="00B56344" w:rsidRPr="00B56344" w:rsidRDefault="00B56344" w:rsidP="00B56344">
      <w:r w:rsidRPr="00B56344">
        <w:t>Water Lane</w:t>
      </w:r>
    </w:p>
    <w:p w:rsidR="00B56344" w:rsidRPr="00B56344" w:rsidRDefault="00B56344" w:rsidP="00B56344">
      <w:r w:rsidRPr="00B56344">
        <w:t>Wilmslow</w:t>
      </w:r>
    </w:p>
    <w:p w:rsidR="00B56344" w:rsidRPr="00B56344" w:rsidRDefault="00B56344" w:rsidP="00B56344">
      <w:r w:rsidRPr="00B56344">
        <w:t>Cheshire</w:t>
      </w:r>
    </w:p>
    <w:p w:rsidR="00B56344" w:rsidRPr="00B56344" w:rsidRDefault="00B56344" w:rsidP="00B56344">
      <w:r w:rsidRPr="00B56344">
        <w:t>SK9 5AF</w:t>
      </w:r>
    </w:p>
    <w:p w:rsidR="00B56344" w:rsidRPr="00B56344" w:rsidRDefault="00B56344" w:rsidP="00B56344"/>
    <w:p w:rsidR="00B56344" w:rsidRPr="00B56344" w:rsidRDefault="00B56344" w:rsidP="00B56344">
      <w:r w:rsidRPr="00B56344">
        <w:t xml:space="preserve">Tel: 01625 545 745 or </w:t>
      </w:r>
      <w:r w:rsidRPr="00B56344">
        <w:br/>
        <w:t>0303 123 1113</w:t>
      </w:r>
    </w:p>
    <w:p w:rsidR="00B56344" w:rsidRPr="00B56344" w:rsidRDefault="00B56344" w:rsidP="00B56344">
      <w:pPr>
        <w:rPr>
          <w:u w:val="single"/>
        </w:rPr>
      </w:pPr>
      <w:r w:rsidRPr="00B56344">
        <w:t xml:space="preserve">Website: </w:t>
      </w:r>
      <w:hyperlink r:id="rId11" w:history="1">
        <w:r w:rsidRPr="00B56344">
          <w:rPr>
            <w:rStyle w:val="Hyperlink"/>
          </w:rPr>
          <w:t>https://ico.org.uk/</w:t>
        </w:r>
      </w:hyperlink>
    </w:p>
    <w:p w:rsidR="003A5747" w:rsidRDefault="003A5747">
      <w:pPr>
        <w:rPr>
          <w:b/>
        </w:rPr>
      </w:pPr>
      <w:r>
        <w:rPr>
          <w:b/>
        </w:rPr>
        <w:br w:type="page"/>
      </w:r>
    </w:p>
    <w:p w:rsidR="008378DD" w:rsidRPr="00394BB7" w:rsidRDefault="008378DD" w:rsidP="008378DD">
      <w:pPr>
        <w:rPr>
          <w:b/>
        </w:rPr>
      </w:pPr>
      <w:r w:rsidRPr="00394BB7">
        <w:rPr>
          <w:b/>
        </w:rPr>
        <w:lastRenderedPageBreak/>
        <w:t xml:space="preserve">CONSULTATION </w:t>
      </w:r>
      <w:r w:rsidR="00C85FC9">
        <w:rPr>
          <w:b/>
        </w:rPr>
        <w:t xml:space="preserve">RESPONSE </w:t>
      </w:r>
      <w:r w:rsidRPr="00394BB7">
        <w:rPr>
          <w:b/>
        </w:rPr>
        <w:t>FORM</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990460" w:rsidTr="00990460">
        <w:trPr>
          <w:trHeight w:val="427"/>
        </w:trPr>
        <w:tc>
          <w:tcPr>
            <w:tcW w:w="9400" w:type="dxa"/>
            <w:gridSpan w:val="3"/>
            <w:tcBorders>
              <w:bottom w:val="single" w:sz="4" w:space="0" w:color="auto"/>
            </w:tcBorders>
            <w:shd w:val="clear" w:color="B2A1C7" w:themeColor="accent4" w:themeTint="99" w:fill="654381"/>
            <w:vAlign w:val="center"/>
          </w:tcPr>
          <w:p w:rsidR="008378DD" w:rsidRPr="00990460" w:rsidRDefault="00360A33" w:rsidP="00360A33">
            <w:pPr>
              <w:rPr>
                <w:rFonts w:ascii="Trebuchet MS" w:hAnsi="Trebuchet MS" w:cs="Arial"/>
                <w:color w:val="FFFFFF" w:themeColor="background1"/>
                <w:highlight w:val="yellow"/>
              </w:rPr>
            </w:pPr>
            <w:r>
              <w:rPr>
                <w:b/>
                <w:color w:val="FFFFFF" w:themeColor="background1"/>
                <w:sz w:val="28"/>
                <w:szCs w:val="28"/>
              </w:rPr>
              <w:t>Call for evidence on h</w:t>
            </w:r>
            <w:r w:rsidR="00B56344">
              <w:rPr>
                <w:b/>
                <w:color w:val="FFFFFF" w:themeColor="background1"/>
                <w:sz w:val="28"/>
                <w:szCs w:val="28"/>
              </w:rPr>
              <w:t>ousing delivery through the planning system</w:t>
            </w:r>
          </w:p>
        </w:tc>
      </w:tr>
      <w:tr w:rsidR="008378DD" w:rsidRPr="007A7AFD" w:rsidTr="00990460">
        <w:trPr>
          <w:trHeight w:val="427"/>
        </w:trPr>
        <w:tc>
          <w:tcPr>
            <w:tcW w:w="9400" w:type="dxa"/>
            <w:gridSpan w:val="3"/>
            <w:shd w:val="clear" w:color="000000" w:fill="B2A1C7" w:themeFill="accent4" w:themeFillTint="99"/>
            <w:vAlign w:val="center"/>
          </w:tcPr>
          <w:p w:rsidR="008378DD" w:rsidRPr="00394BB7" w:rsidRDefault="008378DD" w:rsidP="008378DD">
            <w:pPr>
              <w:jc w:val="center"/>
              <w:rPr>
                <w:rFonts w:ascii="Trebuchet MS" w:hAnsi="Trebuchet MS"/>
                <w:b/>
              </w:rPr>
            </w:pPr>
            <w:r w:rsidRPr="00394BB7">
              <w:rPr>
                <w:rFonts w:cs="Arial"/>
                <w:b/>
                <w:color w:val="000000"/>
              </w:rPr>
              <w:t>Date</w:t>
            </w:r>
            <w:r>
              <w:rPr>
                <w:rFonts w:cs="Arial"/>
                <w:b/>
                <w:color w:val="000000"/>
              </w:rPr>
              <w:t>:</w:t>
            </w:r>
            <w:r w:rsidRPr="00394BB7">
              <w:rPr>
                <w:rFonts w:cs="Arial"/>
                <w:b/>
                <w:color w:val="000000"/>
              </w:rPr>
              <w:t xml:space="preserve"> </w:t>
            </w:r>
          </w:p>
        </w:tc>
      </w:tr>
      <w:tr w:rsidR="008378DD" w:rsidRPr="007A7AFD" w:rsidTr="00990460">
        <w:trPr>
          <w:trHeight w:val="427"/>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Name </w:t>
            </w:r>
          </w:p>
        </w:tc>
        <w:tc>
          <w:tcPr>
            <w:tcW w:w="7273" w:type="dxa"/>
            <w:gridSpan w:val="2"/>
            <w:vAlign w:val="center"/>
          </w:tcPr>
          <w:p w:rsidR="008378DD" w:rsidRPr="00394BB7" w:rsidRDefault="00814581" w:rsidP="008378DD">
            <w:pPr>
              <w:rPr>
                <w:rFonts w:ascii="Trebuchet MS" w:hAnsi="Trebuchet MS"/>
                <w:b/>
              </w:rPr>
            </w:pPr>
            <w:r>
              <w:rPr>
                <w:rFonts w:cs="Arial"/>
                <w:iCs/>
                <w:snapToGrid w:val="0"/>
                <w:lang w:eastAsia="en-US"/>
              </w:rPr>
              <w:t>James Davies</w:t>
            </w:r>
          </w:p>
        </w:tc>
      </w:tr>
      <w:tr w:rsidR="008378DD" w:rsidRPr="007A7AFD" w:rsidTr="00990460">
        <w:trPr>
          <w:trHeight w:val="416"/>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Organisation </w:t>
            </w:r>
          </w:p>
        </w:tc>
        <w:tc>
          <w:tcPr>
            <w:tcW w:w="7273" w:type="dxa"/>
            <w:gridSpan w:val="2"/>
            <w:vAlign w:val="center"/>
          </w:tcPr>
          <w:p w:rsidR="008378DD" w:rsidRPr="00394BB7" w:rsidRDefault="00814581" w:rsidP="008378DD">
            <w:pPr>
              <w:rPr>
                <w:rFonts w:ascii="Trebuchet MS" w:hAnsi="Trebuchet MS"/>
                <w:b/>
              </w:rPr>
            </w:pPr>
            <w:r>
              <w:rPr>
                <w:rFonts w:cs="Arial"/>
                <w:iCs/>
                <w:snapToGrid w:val="0"/>
                <w:lang w:eastAsia="en-US"/>
              </w:rPr>
              <w:t>Planning Aid Wales</w:t>
            </w:r>
          </w:p>
        </w:tc>
      </w:tr>
      <w:tr w:rsidR="008378DD" w:rsidRPr="007A7AFD" w:rsidTr="00990460">
        <w:trPr>
          <w:trHeight w:val="559"/>
        </w:trPr>
        <w:tc>
          <w:tcPr>
            <w:tcW w:w="2127" w:type="dxa"/>
            <w:shd w:val="clear" w:color="000000" w:fill="B2A1C7" w:themeFill="accent4" w:themeFillTint="99"/>
            <w:vAlign w:val="center"/>
          </w:tcPr>
          <w:p w:rsidR="008378DD" w:rsidRDefault="00E45884" w:rsidP="008378DD">
            <w:pPr>
              <w:rPr>
                <w:rFonts w:cs="Arial"/>
                <w:b/>
              </w:rPr>
            </w:pPr>
            <w:r>
              <w:rPr>
                <w:rFonts w:cs="Arial"/>
                <w:b/>
              </w:rPr>
              <w:t xml:space="preserve">Preferred contact details </w:t>
            </w:r>
          </w:p>
          <w:p w:rsidR="00E45884" w:rsidRDefault="00E45884" w:rsidP="008378DD">
            <w:pPr>
              <w:rPr>
                <w:rFonts w:cs="Arial"/>
                <w:b/>
              </w:rPr>
            </w:pPr>
          </w:p>
          <w:p w:rsidR="00E45884" w:rsidRPr="00394BB7" w:rsidRDefault="00E45884" w:rsidP="008378DD">
            <w:pPr>
              <w:rPr>
                <w:rFonts w:cs="Arial"/>
                <w:b/>
              </w:rPr>
            </w:pPr>
            <w:r>
              <w:rPr>
                <w:rFonts w:cs="Arial"/>
                <w:b/>
              </w:rPr>
              <w:t xml:space="preserve">(Email address, phone number or address) </w:t>
            </w:r>
          </w:p>
        </w:tc>
        <w:tc>
          <w:tcPr>
            <w:tcW w:w="7273" w:type="dxa"/>
            <w:gridSpan w:val="2"/>
            <w:vAlign w:val="center"/>
          </w:tcPr>
          <w:p w:rsidR="008378DD" w:rsidRPr="00394BB7" w:rsidRDefault="00814581" w:rsidP="008378DD">
            <w:pPr>
              <w:rPr>
                <w:rFonts w:ascii="Trebuchet MS" w:hAnsi="Trebuchet MS"/>
                <w:b/>
              </w:rPr>
            </w:pPr>
            <w:r>
              <w:rPr>
                <w:rFonts w:cs="Arial"/>
                <w:iCs/>
                <w:snapToGrid w:val="0"/>
                <w:lang w:eastAsia="en-US"/>
              </w:rPr>
              <w:t>james@planningaidwales.org.uk</w:t>
            </w:r>
          </w:p>
        </w:tc>
      </w:tr>
      <w:tr w:rsidR="00E45884" w:rsidRPr="007A7AFD" w:rsidTr="00990460">
        <w:trPr>
          <w:trHeight w:val="603"/>
        </w:trPr>
        <w:tc>
          <w:tcPr>
            <w:tcW w:w="2127" w:type="dxa"/>
            <w:vMerge w:val="restart"/>
            <w:shd w:val="clear" w:color="000000" w:fill="B2A1C7" w:themeFill="accent4" w:themeFillTint="99"/>
          </w:tcPr>
          <w:p w:rsidR="00E45884" w:rsidRPr="00394BB7" w:rsidRDefault="00E45884" w:rsidP="008378DD">
            <w:pPr>
              <w:rPr>
                <w:rFonts w:cs="Arial"/>
                <w:b/>
              </w:rPr>
            </w:pPr>
            <w:r w:rsidRPr="00394BB7">
              <w:rPr>
                <w:rFonts w:cs="Arial"/>
                <w:b/>
              </w:rPr>
              <w:t>Type</w:t>
            </w:r>
          </w:p>
          <w:p w:rsidR="00E45884" w:rsidRPr="00394BB7" w:rsidRDefault="00E45884" w:rsidP="008378DD">
            <w:pPr>
              <w:rPr>
                <w:rFonts w:cs="Arial"/>
                <w:bCs/>
                <w:i/>
                <w:iCs/>
              </w:rPr>
            </w:pPr>
            <w:r w:rsidRPr="00394BB7">
              <w:rPr>
                <w:rFonts w:cs="Arial"/>
                <w:bCs/>
                <w:i/>
                <w:iCs/>
              </w:rPr>
              <w:t>(please select one from the following)</w:t>
            </w:r>
          </w:p>
        </w:tc>
        <w:tc>
          <w:tcPr>
            <w:tcW w:w="6273" w:type="dxa"/>
            <w:vAlign w:val="center"/>
          </w:tcPr>
          <w:p w:rsidR="00E45884" w:rsidRPr="00394BB7" w:rsidRDefault="00E92AE9" w:rsidP="008378DD">
            <w:pPr>
              <w:rPr>
                <w:b/>
                <w:bCs/>
              </w:rPr>
            </w:pPr>
            <w:r>
              <w:t>Business</w:t>
            </w:r>
          </w:p>
        </w:tc>
        <w:bookmarkStart w:id="0" w:name="Check3"/>
        <w:tc>
          <w:tcPr>
            <w:tcW w:w="1000" w:type="dxa"/>
            <w:vAlign w:val="center"/>
          </w:tcPr>
          <w:p w:rsidR="00E45884" w:rsidRPr="00394BB7" w:rsidRDefault="00E45884" w:rsidP="008378DD">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473634">
              <w:fldChar w:fldCharType="separate"/>
            </w:r>
            <w:r w:rsidRPr="00394BB7">
              <w:fldChar w:fldCharType="end"/>
            </w:r>
            <w:bookmarkEnd w:id="0"/>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Local Planning Authority</w:t>
            </w:r>
          </w:p>
        </w:tc>
        <w:bookmarkStart w:id="1" w:name="Check4"/>
        <w:tc>
          <w:tcPr>
            <w:tcW w:w="1000" w:type="dxa"/>
            <w:vAlign w:val="center"/>
          </w:tcPr>
          <w:p w:rsidR="00E45884" w:rsidRPr="00394BB7" w:rsidRDefault="00E45884" w:rsidP="008378DD">
            <w:pPr>
              <w:jc w:val="center"/>
            </w:pPr>
            <w:r w:rsidRPr="00394BB7">
              <w:fldChar w:fldCharType="begin">
                <w:ffData>
                  <w:name w:val="Check4"/>
                  <w:enabled/>
                  <w:calcOnExit w:val="0"/>
                  <w:checkBox>
                    <w:sizeAuto/>
                    <w:default w:val="0"/>
                  </w:checkBox>
                </w:ffData>
              </w:fldChar>
            </w:r>
            <w:r w:rsidRPr="00394BB7">
              <w:instrText xml:space="preserve"> FORMCHECKBOX </w:instrText>
            </w:r>
            <w:r w:rsidR="00473634">
              <w:fldChar w:fldCharType="separate"/>
            </w:r>
            <w:r w:rsidRPr="00394BB7">
              <w:fldChar w:fldCharType="end"/>
            </w:r>
            <w:bookmarkEnd w:id="1"/>
          </w:p>
        </w:tc>
      </w:tr>
      <w:tr w:rsidR="00612D52" w:rsidRPr="007A7AFD" w:rsidTr="00990460">
        <w:trPr>
          <w:trHeight w:val="559"/>
        </w:trPr>
        <w:tc>
          <w:tcPr>
            <w:tcW w:w="2127" w:type="dxa"/>
            <w:vMerge/>
            <w:shd w:val="clear" w:color="000000" w:fill="B2A1C7" w:themeFill="accent4" w:themeFillTint="99"/>
            <w:vAlign w:val="center"/>
          </w:tcPr>
          <w:p w:rsidR="00612D52" w:rsidRPr="007A7AFD" w:rsidRDefault="00612D52" w:rsidP="008378DD">
            <w:pPr>
              <w:rPr>
                <w:rFonts w:cs="Arial"/>
                <w:b/>
                <w:highlight w:val="yellow"/>
              </w:rPr>
            </w:pPr>
          </w:p>
        </w:tc>
        <w:tc>
          <w:tcPr>
            <w:tcW w:w="6273" w:type="dxa"/>
            <w:vAlign w:val="center"/>
          </w:tcPr>
          <w:p w:rsidR="00612D52" w:rsidRPr="00394BB7" w:rsidRDefault="00612D52" w:rsidP="00A46E1E">
            <w:r>
              <w:t xml:space="preserve">Local </w:t>
            </w:r>
            <w:r w:rsidR="00EF630D">
              <w:t xml:space="preserve">Planning </w:t>
            </w:r>
            <w:r>
              <w:t>Authority Councillor responding in a p</w:t>
            </w:r>
            <w:r w:rsidR="00A46E1E">
              <w:t>ersonal</w:t>
            </w:r>
            <w:r>
              <w:t xml:space="preserve"> capacity</w:t>
            </w:r>
          </w:p>
        </w:tc>
        <w:tc>
          <w:tcPr>
            <w:tcW w:w="1000" w:type="dxa"/>
            <w:vAlign w:val="center"/>
          </w:tcPr>
          <w:p w:rsidR="00612D52" w:rsidRPr="00394BB7" w:rsidRDefault="00612D52"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473634">
              <w:fldChar w:fldCharType="separate"/>
            </w:r>
            <w:r w:rsidRPr="00394BB7">
              <w:fldChar w:fldCharType="end"/>
            </w:r>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Government Agency</w:t>
            </w:r>
            <w:r w:rsidR="000B2178">
              <w:t xml:space="preserve"> </w:t>
            </w:r>
            <w:r w:rsidRPr="00394BB7">
              <w:t>/</w:t>
            </w:r>
            <w:r w:rsidR="000B2178">
              <w:t xml:space="preserve"> </w:t>
            </w:r>
            <w:r w:rsidRPr="00394BB7">
              <w:t>Other Public Sector</w:t>
            </w:r>
            <w:r w:rsidR="00612D52">
              <w:t xml:space="preserve"> (including Community / Town Councils)</w:t>
            </w:r>
          </w:p>
        </w:tc>
        <w:bookmarkStart w:id="2" w:name="Check5"/>
        <w:tc>
          <w:tcPr>
            <w:tcW w:w="1000" w:type="dxa"/>
            <w:vAlign w:val="center"/>
          </w:tcPr>
          <w:p w:rsidR="00E45884" w:rsidRPr="00394BB7" w:rsidRDefault="00E45884" w:rsidP="008378DD">
            <w:pPr>
              <w:jc w:val="center"/>
            </w:pPr>
            <w:r w:rsidRPr="00394BB7">
              <w:fldChar w:fldCharType="begin">
                <w:ffData>
                  <w:name w:val="Check5"/>
                  <w:enabled/>
                  <w:calcOnExit w:val="0"/>
                  <w:checkBox>
                    <w:sizeAuto/>
                    <w:default w:val="0"/>
                  </w:checkBox>
                </w:ffData>
              </w:fldChar>
            </w:r>
            <w:r w:rsidRPr="00394BB7">
              <w:instrText xml:space="preserve"> FORMCHECKBOX </w:instrText>
            </w:r>
            <w:r w:rsidR="00473634">
              <w:fldChar w:fldCharType="separate"/>
            </w:r>
            <w:r w:rsidRPr="00394BB7">
              <w:fldChar w:fldCharType="end"/>
            </w:r>
            <w:bookmarkEnd w:id="2"/>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612D52">
            <w:r w:rsidRPr="00394BB7">
              <w:t>Professional Bod</w:t>
            </w:r>
            <w:r w:rsidR="00612D52">
              <w:t>y</w:t>
            </w:r>
            <w:r w:rsidR="000B2178">
              <w:t xml:space="preserve"> </w:t>
            </w:r>
            <w:r w:rsidRPr="00394BB7">
              <w:t>/</w:t>
            </w:r>
            <w:r w:rsidR="000B2178">
              <w:t xml:space="preserve"> </w:t>
            </w:r>
            <w:r w:rsidRPr="00394BB7">
              <w:t>Interest Group</w:t>
            </w:r>
          </w:p>
        </w:tc>
        <w:bookmarkStart w:id="3" w:name="Check6"/>
        <w:tc>
          <w:tcPr>
            <w:tcW w:w="1000" w:type="dxa"/>
            <w:vAlign w:val="center"/>
          </w:tcPr>
          <w:p w:rsidR="00E45884" w:rsidRPr="00394BB7" w:rsidRDefault="00E45884"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473634">
              <w:fldChar w:fldCharType="separate"/>
            </w:r>
            <w:r w:rsidRPr="00394BB7">
              <w:fldChar w:fldCharType="end"/>
            </w:r>
            <w:bookmarkEnd w:id="3"/>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Voluntary sector (community groups, volunteers, self help groups, co-operatives, enterprises, religious, not for profit organisations)</w:t>
            </w:r>
          </w:p>
        </w:tc>
        <w:tc>
          <w:tcPr>
            <w:tcW w:w="1000" w:type="dxa"/>
            <w:vAlign w:val="center"/>
          </w:tcPr>
          <w:p w:rsidR="00E45884" w:rsidRPr="00394BB7" w:rsidRDefault="00814581" w:rsidP="008378DD">
            <w:pPr>
              <w:jc w:val="center"/>
            </w:pPr>
            <w:r>
              <w:fldChar w:fldCharType="begin">
                <w:ffData>
                  <w:name w:val="Check7"/>
                  <w:enabled/>
                  <w:calcOnExit w:val="0"/>
                  <w:checkBox>
                    <w:sizeAuto/>
                    <w:default w:val="1"/>
                  </w:checkBox>
                </w:ffData>
              </w:fldChar>
            </w:r>
            <w:bookmarkStart w:id="4" w:name="Check7"/>
            <w:r>
              <w:instrText xml:space="preserve"> FORMCHECKBOX </w:instrText>
            </w:r>
            <w:r w:rsidR="00473634">
              <w:fldChar w:fldCharType="separate"/>
            </w:r>
            <w:r>
              <w:fldChar w:fldCharType="end"/>
            </w:r>
            <w:bookmarkEnd w:id="4"/>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Other groups not listed above</w:t>
            </w:r>
          </w:p>
        </w:tc>
        <w:bookmarkStart w:id="5" w:name="Check8"/>
        <w:tc>
          <w:tcPr>
            <w:tcW w:w="1000" w:type="dxa"/>
            <w:vAlign w:val="center"/>
          </w:tcPr>
          <w:p w:rsidR="00E45884" w:rsidRPr="00394BB7" w:rsidRDefault="00E45884" w:rsidP="008378DD">
            <w:pPr>
              <w:jc w:val="center"/>
            </w:pPr>
            <w:r w:rsidRPr="00394BB7">
              <w:fldChar w:fldCharType="begin">
                <w:ffData>
                  <w:name w:val="Check8"/>
                  <w:enabled/>
                  <w:calcOnExit w:val="0"/>
                  <w:checkBox>
                    <w:sizeAuto/>
                    <w:default w:val="0"/>
                  </w:checkBox>
                </w:ffData>
              </w:fldChar>
            </w:r>
            <w:r w:rsidRPr="00394BB7">
              <w:instrText xml:space="preserve"> FORMCHECKBOX </w:instrText>
            </w:r>
            <w:r w:rsidR="00473634">
              <w:fldChar w:fldCharType="separate"/>
            </w:r>
            <w:r w:rsidRPr="00394BB7">
              <w:fldChar w:fldCharType="end"/>
            </w:r>
            <w:bookmarkEnd w:id="5"/>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Responding in a private capacity</w:t>
            </w:r>
          </w:p>
        </w:tc>
        <w:tc>
          <w:tcPr>
            <w:tcW w:w="1000" w:type="dxa"/>
            <w:vAlign w:val="center"/>
          </w:tcPr>
          <w:p w:rsidR="00E45884" w:rsidRPr="00394BB7" w:rsidRDefault="00E45884" w:rsidP="008378DD">
            <w:pPr>
              <w:jc w:val="center"/>
            </w:pPr>
            <w:r w:rsidRPr="00394BB7">
              <w:fldChar w:fldCharType="begin">
                <w:ffData>
                  <w:name w:val=""/>
                  <w:enabled/>
                  <w:calcOnExit w:val="0"/>
                  <w:checkBox>
                    <w:sizeAuto/>
                    <w:default w:val="0"/>
                  </w:checkBox>
                </w:ffData>
              </w:fldChar>
            </w:r>
            <w:r w:rsidRPr="00394BB7">
              <w:instrText xml:space="preserve"> FORMCHECKBOX </w:instrText>
            </w:r>
            <w:r w:rsidR="00473634">
              <w:fldChar w:fldCharType="separate"/>
            </w:r>
            <w:r w:rsidRPr="00394BB7">
              <w:fldChar w:fldCharType="end"/>
            </w:r>
          </w:p>
        </w:tc>
      </w:tr>
    </w:tbl>
    <w:p w:rsidR="008378DD" w:rsidRDefault="008378DD"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134D1C" w:rsidRDefault="00134D1C" w:rsidP="008378DD">
      <w:pPr>
        <w:rPr>
          <w:highlight w:val="yellow"/>
        </w:rPr>
      </w:pPr>
    </w:p>
    <w:p w:rsidR="00360A33" w:rsidRDefault="00360A33" w:rsidP="001F152B">
      <w:pPr>
        <w:rPr>
          <w:b/>
        </w:rPr>
      </w:pPr>
    </w:p>
    <w:p w:rsidR="00360A33" w:rsidRDefault="00360A33" w:rsidP="001F152B">
      <w:pPr>
        <w:rPr>
          <w:b/>
        </w:rPr>
      </w:pPr>
    </w:p>
    <w:p w:rsidR="001F152B" w:rsidRPr="001F152B" w:rsidRDefault="001F152B" w:rsidP="001F152B">
      <w:pPr>
        <w:rPr>
          <w:b/>
        </w:rPr>
      </w:pPr>
      <w:r w:rsidRPr="001F152B">
        <w:rPr>
          <w:b/>
        </w:rPr>
        <w:lastRenderedPageBreak/>
        <w:t xml:space="preserve">Housing Requirement </w:t>
      </w:r>
    </w:p>
    <w:p w:rsidR="001F152B" w:rsidRDefault="001F152B">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F152B" w:rsidRPr="007A7AFD" w:rsidTr="001F152B">
        <w:tc>
          <w:tcPr>
            <w:tcW w:w="1384" w:type="dxa"/>
            <w:shd w:val="clear" w:color="auto" w:fill="7030A0"/>
          </w:tcPr>
          <w:p w:rsidR="001F152B" w:rsidRDefault="001F152B" w:rsidP="003C329A">
            <w:pPr>
              <w:spacing w:line="360" w:lineRule="auto"/>
              <w:rPr>
                <w:rFonts w:cs="Arial"/>
                <w:b/>
                <w:color w:val="FFFFFF" w:themeColor="background1"/>
              </w:rPr>
            </w:pPr>
          </w:p>
          <w:p w:rsidR="001F152B" w:rsidRPr="007A7AFD" w:rsidRDefault="001F152B" w:rsidP="003C329A">
            <w:pPr>
              <w:spacing w:line="360" w:lineRule="auto"/>
              <w:rPr>
                <w:rFonts w:cs="Arial"/>
                <w:b/>
                <w:highlight w:val="yellow"/>
              </w:rPr>
            </w:pPr>
            <w:r w:rsidRPr="00990460">
              <w:rPr>
                <w:rFonts w:cs="Arial"/>
                <w:b/>
                <w:color w:val="FFFFFF" w:themeColor="background1"/>
              </w:rPr>
              <w:t>Q</w:t>
            </w:r>
            <w:r>
              <w:rPr>
                <w:rFonts w:cs="Arial"/>
                <w:b/>
                <w:color w:val="FFFFFF" w:themeColor="background1"/>
              </w:rPr>
              <w:t>1</w:t>
            </w:r>
          </w:p>
        </w:tc>
        <w:tc>
          <w:tcPr>
            <w:tcW w:w="7858" w:type="dxa"/>
            <w:shd w:val="clear" w:color="auto" w:fill="B2A1C7" w:themeFill="accent4" w:themeFillTint="99"/>
          </w:tcPr>
          <w:p w:rsidR="001F152B" w:rsidRDefault="001F152B" w:rsidP="001F152B">
            <w:pPr>
              <w:spacing w:line="360" w:lineRule="auto"/>
              <w:rPr>
                <w:rFonts w:cs="Arial"/>
              </w:rPr>
            </w:pPr>
          </w:p>
          <w:p w:rsidR="001F152B" w:rsidRPr="001F152B" w:rsidRDefault="001F152B" w:rsidP="001F152B">
            <w:pPr>
              <w:spacing w:line="360" w:lineRule="auto"/>
              <w:rPr>
                <w:rFonts w:cs="Arial"/>
              </w:rPr>
            </w:pPr>
            <w:r w:rsidRPr="00B56344">
              <w:rPr>
                <w:rFonts w:cs="Arial"/>
              </w:rPr>
              <w:t>How should a deliverable housing requirement be calculated for inclusion in a development plan? Please provide relevant examples.</w:t>
            </w:r>
          </w:p>
        </w:tc>
      </w:tr>
      <w:tr w:rsidR="001F152B" w:rsidRPr="007A7AFD" w:rsidTr="001F152B">
        <w:tc>
          <w:tcPr>
            <w:tcW w:w="9242" w:type="dxa"/>
            <w:gridSpan w:val="2"/>
          </w:tcPr>
          <w:p w:rsidR="001F152B" w:rsidRPr="00832D58" w:rsidRDefault="001F152B" w:rsidP="00990460">
            <w:pPr>
              <w:spacing w:line="360" w:lineRule="auto"/>
              <w:rPr>
                <w:rFonts w:cs="Arial"/>
                <w:b/>
              </w:rPr>
            </w:pPr>
          </w:p>
        </w:tc>
      </w:tr>
      <w:tr w:rsidR="00990460" w:rsidRPr="007A7AFD" w:rsidTr="00990460">
        <w:tc>
          <w:tcPr>
            <w:tcW w:w="9242" w:type="dxa"/>
            <w:gridSpan w:val="2"/>
            <w:shd w:val="clear" w:color="auto" w:fill="B2A1C7" w:themeFill="accent4" w:themeFillTint="99"/>
          </w:tcPr>
          <w:p w:rsidR="00990460" w:rsidRPr="007A7AFD" w:rsidRDefault="002E7EC5" w:rsidP="0054629E">
            <w:pPr>
              <w:rPr>
                <w:rFonts w:cs="Arial"/>
                <w:b/>
                <w:highlight w:val="yellow"/>
              </w:rPr>
            </w:pPr>
            <w:r>
              <w:rPr>
                <w:rFonts w:cs="Arial"/>
                <w:b/>
              </w:rPr>
              <w:t>C</w:t>
            </w:r>
            <w:r w:rsidR="00990460" w:rsidRPr="00832D58">
              <w:rPr>
                <w:rFonts w:cs="Arial"/>
                <w:b/>
              </w:rPr>
              <w:t>omments</w:t>
            </w:r>
          </w:p>
        </w:tc>
      </w:tr>
      <w:tr w:rsidR="00990460" w:rsidRPr="007A7AFD" w:rsidTr="00990460">
        <w:tc>
          <w:tcPr>
            <w:tcW w:w="9242" w:type="dxa"/>
            <w:gridSpan w:val="2"/>
          </w:tcPr>
          <w:p w:rsidR="00990460" w:rsidRPr="007A7AFD" w:rsidRDefault="00990460" w:rsidP="00990460">
            <w:pPr>
              <w:rPr>
                <w:highlight w:val="yellow"/>
              </w:rPr>
            </w:pPr>
          </w:p>
          <w:p w:rsidR="00363DE1" w:rsidRPr="004B14F2" w:rsidRDefault="00363DE1" w:rsidP="00363DE1">
            <w:pPr>
              <w:pStyle w:val="ListParagraph"/>
              <w:numPr>
                <w:ilvl w:val="0"/>
                <w:numId w:val="19"/>
              </w:numPr>
              <w:spacing w:after="240" w:line="259" w:lineRule="auto"/>
              <w:ind w:hanging="720"/>
              <w:contextualSpacing w:val="0"/>
              <w:rPr>
                <w:rFonts w:ascii="Arial" w:hAnsi="Arial" w:cs="Arial"/>
                <w:sz w:val="24"/>
                <w:szCs w:val="24"/>
              </w:rPr>
            </w:pPr>
            <w:r w:rsidRPr="004B14F2">
              <w:rPr>
                <w:rFonts w:ascii="Arial" w:hAnsi="Arial" w:cs="Arial"/>
                <w:sz w:val="24"/>
                <w:szCs w:val="24"/>
              </w:rPr>
              <w:t>The use of national and regional demographic statistics.</w:t>
            </w:r>
          </w:p>
          <w:p w:rsidR="00363DE1" w:rsidRPr="004B14F2" w:rsidRDefault="00363DE1" w:rsidP="00363DE1">
            <w:pPr>
              <w:pStyle w:val="ListParagraph"/>
              <w:numPr>
                <w:ilvl w:val="0"/>
                <w:numId w:val="19"/>
              </w:numPr>
              <w:spacing w:after="240" w:line="259" w:lineRule="auto"/>
              <w:ind w:hanging="720"/>
              <w:contextualSpacing w:val="0"/>
              <w:rPr>
                <w:rFonts w:ascii="Arial" w:hAnsi="Arial" w:cs="Arial"/>
                <w:sz w:val="24"/>
                <w:szCs w:val="24"/>
              </w:rPr>
            </w:pPr>
            <w:r w:rsidRPr="004B14F2">
              <w:rPr>
                <w:rFonts w:ascii="Arial" w:hAnsi="Arial" w:cs="Arial"/>
                <w:sz w:val="24"/>
                <w:szCs w:val="24"/>
              </w:rPr>
              <w:t>Use of Community Councils to provide local needs assessment</w:t>
            </w:r>
            <w:r>
              <w:rPr>
                <w:rFonts w:ascii="Arial" w:hAnsi="Arial" w:cs="Arial"/>
                <w:sz w:val="24"/>
                <w:szCs w:val="24"/>
              </w:rPr>
              <w:t>s</w:t>
            </w:r>
            <w:r w:rsidRPr="004B14F2">
              <w:rPr>
                <w:rFonts w:ascii="Arial" w:hAnsi="Arial" w:cs="Arial"/>
                <w:sz w:val="24"/>
                <w:szCs w:val="24"/>
              </w:rPr>
              <w:t xml:space="preserve"> of housing within their own communities. This also provides an opportunity for early engagement </w:t>
            </w:r>
            <w:r w:rsidR="00C76A60">
              <w:rPr>
                <w:rFonts w:ascii="Arial" w:hAnsi="Arial" w:cs="Arial"/>
                <w:sz w:val="24"/>
                <w:szCs w:val="24"/>
              </w:rPr>
              <w:t>with</w:t>
            </w:r>
            <w:r w:rsidRPr="004B14F2">
              <w:rPr>
                <w:rFonts w:ascii="Arial" w:hAnsi="Arial" w:cs="Arial"/>
                <w:sz w:val="24"/>
                <w:szCs w:val="24"/>
              </w:rPr>
              <w:t xml:space="preserve"> such communities.</w:t>
            </w:r>
          </w:p>
          <w:p w:rsidR="00363DE1" w:rsidRPr="004B14F2" w:rsidRDefault="00363DE1" w:rsidP="00363DE1">
            <w:pPr>
              <w:pStyle w:val="ListParagraph"/>
              <w:numPr>
                <w:ilvl w:val="0"/>
                <w:numId w:val="19"/>
              </w:numPr>
              <w:spacing w:after="240" w:line="259" w:lineRule="auto"/>
              <w:ind w:hanging="720"/>
              <w:contextualSpacing w:val="0"/>
              <w:rPr>
                <w:rFonts w:ascii="Arial" w:hAnsi="Arial" w:cs="Arial"/>
                <w:sz w:val="24"/>
                <w:szCs w:val="24"/>
              </w:rPr>
            </w:pPr>
            <w:r w:rsidRPr="004B14F2">
              <w:rPr>
                <w:rFonts w:ascii="Arial" w:hAnsi="Arial" w:cs="Arial"/>
                <w:sz w:val="24"/>
                <w:szCs w:val="24"/>
              </w:rPr>
              <w:t>Input from local housing groups and organisations to identify specific needs such</w:t>
            </w:r>
            <w:r w:rsidR="00C76A60">
              <w:rPr>
                <w:rFonts w:ascii="Arial" w:hAnsi="Arial" w:cs="Arial"/>
                <w:sz w:val="24"/>
                <w:szCs w:val="24"/>
              </w:rPr>
              <w:t xml:space="preserve"> as</w:t>
            </w:r>
            <w:r w:rsidRPr="004B14F2">
              <w:rPr>
                <w:rFonts w:ascii="Arial" w:hAnsi="Arial" w:cs="Arial"/>
                <w:sz w:val="24"/>
                <w:szCs w:val="24"/>
              </w:rPr>
              <w:t xml:space="preserve"> housing for</w:t>
            </w:r>
            <w:r w:rsidR="00C76A60">
              <w:rPr>
                <w:rFonts w:ascii="Arial" w:hAnsi="Arial" w:cs="Arial"/>
                <w:sz w:val="24"/>
                <w:szCs w:val="24"/>
              </w:rPr>
              <w:t xml:space="preserve"> the</w:t>
            </w:r>
            <w:r w:rsidRPr="004B14F2">
              <w:rPr>
                <w:rFonts w:ascii="Arial" w:hAnsi="Arial" w:cs="Arial"/>
                <w:sz w:val="24"/>
                <w:szCs w:val="24"/>
              </w:rPr>
              <w:t xml:space="preserve"> elderly, </w:t>
            </w:r>
            <w:r w:rsidR="00C76A60">
              <w:rPr>
                <w:rFonts w:ascii="Arial" w:hAnsi="Arial" w:cs="Arial"/>
                <w:sz w:val="24"/>
                <w:szCs w:val="24"/>
              </w:rPr>
              <w:t xml:space="preserve">those with </w:t>
            </w:r>
            <w:r w:rsidRPr="004B14F2">
              <w:rPr>
                <w:rFonts w:ascii="Arial" w:hAnsi="Arial" w:cs="Arial"/>
                <w:sz w:val="24"/>
                <w:szCs w:val="24"/>
              </w:rPr>
              <w:t xml:space="preserve">special needs or affordable housing. </w:t>
            </w:r>
          </w:p>
          <w:p w:rsidR="00363DE1" w:rsidRPr="004B14F2" w:rsidRDefault="00363DE1" w:rsidP="00363DE1">
            <w:pPr>
              <w:pStyle w:val="ListParagraph"/>
              <w:numPr>
                <w:ilvl w:val="0"/>
                <w:numId w:val="19"/>
              </w:numPr>
              <w:spacing w:after="240" w:line="259" w:lineRule="auto"/>
              <w:ind w:hanging="720"/>
              <w:contextualSpacing w:val="0"/>
              <w:rPr>
                <w:rFonts w:ascii="Arial" w:hAnsi="Arial" w:cs="Arial"/>
                <w:sz w:val="24"/>
                <w:szCs w:val="24"/>
              </w:rPr>
            </w:pPr>
            <w:r>
              <w:rPr>
                <w:rFonts w:ascii="Arial" w:hAnsi="Arial" w:cs="Arial"/>
                <w:sz w:val="24"/>
                <w:szCs w:val="24"/>
              </w:rPr>
              <w:t>Greater</w:t>
            </w:r>
            <w:r w:rsidRPr="004B14F2">
              <w:rPr>
                <w:rFonts w:ascii="Arial" w:hAnsi="Arial" w:cs="Arial"/>
                <w:sz w:val="24"/>
                <w:szCs w:val="24"/>
              </w:rPr>
              <w:t xml:space="preserve"> emphasis </w:t>
            </w:r>
            <w:r>
              <w:rPr>
                <w:rFonts w:ascii="Arial" w:hAnsi="Arial" w:cs="Arial"/>
                <w:sz w:val="24"/>
                <w:szCs w:val="24"/>
              </w:rPr>
              <w:t xml:space="preserve">on and assistance </w:t>
            </w:r>
            <w:r w:rsidR="00C76A60">
              <w:rPr>
                <w:rFonts w:ascii="Arial" w:hAnsi="Arial" w:cs="Arial"/>
                <w:sz w:val="24"/>
                <w:szCs w:val="24"/>
              </w:rPr>
              <w:t>with preparing</w:t>
            </w:r>
            <w:r>
              <w:rPr>
                <w:rFonts w:ascii="Arial" w:hAnsi="Arial" w:cs="Arial"/>
                <w:sz w:val="24"/>
                <w:szCs w:val="24"/>
              </w:rPr>
              <w:t xml:space="preserve"> Place Plans, particularly as </w:t>
            </w:r>
            <w:r w:rsidRPr="004B14F2">
              <w:rPr>
                <w:rFonts w:ascii="Arial" w:hAnsi="Arial" w:cs="Arial"/>
                <w:sz w:val="24"/>
                <w:szCs w:val="24"/>
              </w:rPr>
              <w:t>part of the statutory development plan system.</w:t>
            </w:r>
          </w:p>
          <w:p w:rsidR="00360A33" w:rsidRPr="007A7AFD" w:rsidRDefault="00360A33" w:rsidP="00990460">
            <w:pPr>
              <w:rPr>
                <w:highlight w:val="yellow"/>
              </w:rPr>
            </w:pPr>
          </w:p>
        </w:tc>
      </w:tr>
    </w:tbl>
    <w:p w:rsidR="00990460" w:rsidRDefault="00990460" w:rsidP="008378DD">
      <w:pPr>
        <w:rPr>
          <w:highlight w:val="yellow"/>
        </w:rPr>
      </w:pPr>
    </w:p>
    <w:p w:rsidR="001F152B" w:rsidRPr="001F152B" w:rsidRDefault="001F152B" w:rsidP="001F152B">
      <w:pPr>
        <w:rPr>
          <w:b/>
        </w:rPr>
      </w:pPr>
      <w:r w:rsidRPr="001F152B">
        <w:rPr>
          <w:b/>
        </w:rPr>
        <w:t>LDPs and housing delivery</w:t>
      </w: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F152B" w:rsidRPr="007A7AFD" w:rsidTr="001F152B">
        <w:tc>
          <w:tcPr>
            <w:tcW w:w="1384" w:type="dxa"/>
            <w:shd w:val="clear" w:color="auto" w:fill="7030A0"/>
          </w:tcPr>
          <w:p w:rsidR="001F152B" w:rsidRDefault="001F152B" w:rsidP="003B4C86">
            <w:pPr>
              <w:spacing w:line="360" w:lineRule="auto"/>
              <w:rPr>
                <w:rFonts w:cs="Arial"/>
                <w:b/>
                <w:color w:val="FFFFFF" w:themeColor="background1"/>
              </w:rPr>
            </w:pPr>
          </w:p>
          <w:p w:rsidR="001F152B" w:rsidRPr="007A7AFD" w:rsidRDefault="001F152B" w:rsidP="003B4C86">
            <w:pPr>
              <w:spacing w:line="360" w:lineRule="auto"/>
              <w:rPr>
                <w:rFonts w:cs="Arial"/>
                <w:b/>
                <w:highlight w:val="yellow"/>
              </w:rPr>
            </w:pPr>
            <w:r w:rsidRPr="00990460">
              <w:rPr>
                <w:rFonts w:cs="Arial"/>
                <w:b/>
                <w:color w:val="FFFFFF" w:themeColor="background1"/>
              </w:rPr>
              <w:t>Q</w:t>
            </w:r>
            <w:r>
              <w:rPr>
                <w:rFonts w:cs="Arial"/>
                <w:b/>
                <w:color w:val="FFFFFF" w:themeColor="background1"/>
              </w:rPr>
              <w:t>2</w:t>
            </w:r>
          </w:p>
        </w:tc>
        <w:tc>
          <w:tcPr>
            <w:tcW w:w="7858" w:type="dxa"/>
            <w:shd w:val="clear" w:color="auto" w:fill="B2A1C7" w:themeFill="accent4" w:themeFillTint="99"/>
          </w:tcPr>
          <w:p w:rsidR="001F152B" w:rsidRDefault="001F152B" w:rsidP="003B4C86">
            <w:pPr>
              <w:spacing w:line="360" w:lineRule="auto"/>
              <w:rPr>
                <w:rFonts w:cs="Arial"/>
              </w:rPr>
            </w:pPr>
          </w:p>
          <w:p w:rsidR="001F152B" w:rsidRPr="001F152B" w:rsidRDefault="001F152B" w:rsidP="001F152B">
            <w:pPr>
              <w:spacing w:line="360" w:lineRule="auto"/>
              <w:rPr>
                <w:rFonts w:cs="Arial"/>
              </w:rPr>
            </w:pPr>
            <w:r w:rsidRPr="001F152B">
              <w:rPr>
                <w:rFonts w:cs="Arial"/>
              </w:rPr>
              <w:t xml:space="preserve">How can we ensure development plan housing requirements are delivered? </w:t>
            </w:r>
          </w:p>
        </w:tc>
      </w:tr>
      <w:tr w:rsidR="001F152B" w:rsidRPr="007A7AFD" w:rsidTr="001F152B">
        <w:tc>
          <w:tcPr>
            <w:tcW w:w="9242" w:type="dxa"/>
            <w:gridSpan w:val="2"/>
          </w:tcPr>
          <w:p w:rsidR="001F152B" w:rsidRPr="00832D58" w:rsidRDefault="001F152B" w:rsidP="0054629E">
            <w:pPr>
              <w:spacing w:line="360" w:lineRule="auto"/>
              <w:rPr>
                <w:rFonts w:cs="Arial"/>
                <w:b/>
              </w:rPr>
            </w:pPr>
          </w:p>
        </w:tc>
      </w:tr>
      <w:tr w:rsidR="0054629E" w:rsidRPr="007A7AFD" w:rsidTr="0054629E">
        <w:tc>
          <w:tcPr>
            <w:tcW w:w="9242" w:type="dxa"/>
            <w:gridSpan w:val="2"/>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2"/>
          </w:tcPr>
          <w:p w:rsidR="0054629E" w:rsidRPr="007A7AFD" w:rsidRDefault="0054629E" w:rsidP="0054629E">
            <w:pPr>
              <w:rPr>
                <w:highlight w:val="yellow"/>
              </w:rPr>
            </w:pP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Early interaction with communities, large developers, agents and small-scale housebuilders. Policy teams to undertake early discussions to engage these key players in the LDP process early on – to ensure both parties know what is expected of them.</w:t>
            </w: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Engagement with developers and communities on the LDP process – many smaller housebuilders / individual house builders do not have a clear underst</w:t>
            </w:r>
            <w:r w:rsidR="00CD0353">
              <w:rPr>
                <w:rFonts w:ascii="Arial" w:hAnsi="Arial" w:cs="Arial"/>
                <w:sz w:val="24"/>
                <w:szCs w:val="24"/>
              </w:rPr>
              <w:t xml:space="preserve">anding of the LDP process and LPA </w:t>
            </w:r>
            <w:r w:rsidRPr="00B05465">
              <w:rPr>
                <w:rFonts w:ascii="Arial" w:hAnsi="Arial" w:cs="Arial"/>
                <w:sz w:val="24"/>
                <w:szCs w:val="24"/>
              </w:rPr>
              <w:t>requirement</w:t>
            </w:r>
            <w:r w:rsidR="00CD0353">
              <w:rPr>
                <w:rFonts w:ascii="Arial" w:hAnsi="Arial" w:cs="Arial"/>
                <w:sz w:val="24"/>
                <w:szCs w:val="24"/>
              </w:rPr>
              <w:t>s</w:t>
            </w:r>
            <w:r w:rsidRPr="00B05465">
              <w:rPr>
                <w:rFonts w:ascii="Arial" w:hAnsi="Arial" w:cs="Arial"/>
                <w:sz w:val="24"/>
                <w:szCs w:val="24"/>
              </w:rPr>
              <w:t xml:space="preserve"> to deliver sites within an allocated time frame.  Developers see land as an asset and</w:t>
            </w:r>
            <w:r>
              <w:rPr>
                <w:rFonts w:ascii="Arial" w:hAnsi="Arial" w:cs="Arial"/>
                <w:sz w:val="24"/>
                <w:szCs w:val="24"/>
              </w:rPr>
              <w:t xml:space="preserve"> are</w:t>
            </w:r>
            <w:r w:rsidRPr="00B05465">
              <w:rPr>
                <w:rFonts w:ascii="Arial" w:hAnsi="Arial" w:cs="Arial"/>
                <w:sz w:val="24"/>
                <w:szCs w:val="24"/>
              </w:rPr>
              <w:t xml:space="preserve"> </w:t>
            </w:r>
            <w:r>
              <w:rPr>
                <w:rFonts w:ascii="Arial" w:hAnsi="Arial" w:cs="Arial"/>
                <w:sz w:val="24"/>
                <w:szCs w:val="24"/>
              </w:rPr>
              <w:t xml:space="preserve">often </w:t>
            </w:r>
            <w:r w:rsidRPr="00B05465">
              <w:rPr>
                <w:rFonts w:ascii="Arial" w:hAnsi="Arial" w:cs="Arial"/>
                <w:sz w:val="24"/>
                <w:szCs w:val="24"/>
              </w:rPr>
              <w:t>not acting for community benefit.  Developers need to be aware of the aspirations of the community in terms of providing affordable homes</w:t>
            </w:r>
            <w:r>
              <w:rPr>
                <w:rFonts w:ascii="Arial" w:hAnsi="Arial" w:cs="Arial"/>
                <w:sz w:val="24"/>
                <w:szCs w:val="24"/>
              </w:rPr>
              <w:t>.</w:t>
            </w:r>
          </w:p>
          <w:p w:rsidR="00363DE1" w:rsidRPr="00BE4AE7"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LDP needs to be realistic regarding exi</w:t>
            </w:r>
            <w:r w:rsidR="00CD0353">
              <w:rPr>
                <w:rFonts w:ascii="Arial" w:hAnsi="Arial" w:cs="Arial"/>
                <w:sz w:val="24"/>
                <w:szCs w:val="24"/>
              </w:rPr>
              <w:t>s</w:t>
            </w:r>
            <w:r w:rsidRPr="00B05465">
              <w:rPr>
                <w:rFonts w:ascii="Arial" w:hAnsi="Arial" w:cs="Arial"/>
                <w:sz w:val="24"/>
                <w:szCs w:val="24"/>
              </w:rPr>
              <w:t xml:space="preserve">ting sites e.g. Industrial / retail / commercial – if these sites have been historically classed as commercial / </w:t>
            </w:r>
            <w:r w:rsidRPr="00B05465">
              <w:rPr>
                <w:rFonts w:ascii="Arial" w:hAnsi="Arial" w:cs="Arial"/>
                <w:sz w:val="24"/>
                <w:szCs w:val="24"/>
              </w:rPr>
              <w:lastRenderedPageBreak/>
              <w:t>industrial for example, do they need to be re-visited within the LDP?  Would mix-use be acceptable to allow an element of housing?  Would the local community prefer housing over an industrial use for example?  Such questions could be raised early in the process – perhaps using Place Plans</w:t>
            </w:r>
            <w:r w:rsidR="00A0213B">
              <w:rPr>
                <w:rFonts w:ascii="Arial" w:hAnsi="Arial" w:cs="Arial"/>
                <w:sz w:val="24"/>
                <w:szCs w:val="24"/>
              </w:rPr>
              <w:t>.</w:t>
            </w:r>
            <w:r w:rsidRPr="00B05465">
              <w:rPr>
                <w:rFonts w:ascii="Arial" w:hAnsi="Arial" w:cs="Arial"/>
                <w:sz w:val="24"/>
                <w:szCs w:val="24"/>
              </w:rPr>
              <w:t xml:space="preserve">  </w:t>
            </w:r>
            <w:r w:rsidRPr="00BE4AE7">
              <w:rPr>
                <w:rFonts w:ascii="Arial" w:hAnsi="Arial" w:cs="Arial"/>
                <w:sz w:val="24"/>
                <w:szCs w:val="24"/>
              </w:rPr>
              <w:t>Some sites could be considered for de-allocation to allow for housing.</w:t>
            </w:r>
          </w:p>
          <w:p w:rsidR="00363DE1" w:rsidRPr="00BE4AE7"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E4AE7">
              <w:rPr>
                <w:rFonts w:ascii="Arial" w:hAnsi="Arial" w:cs="Arial"/>
                <w:sz w:val="24"/>
                <w:szCs w:val="24"/>
              </w:rPr>
              <w:t xml:space="preserve">Onus on Developers to provide evidence at the early stages of </w:t>
            </w:r>
            <w:r w:rsidR="004A59D4">
              <w:rPr>
                <w:rFonts w:ascii="Arial" w:hAnsi="Arial" w:cs="Arial"/>
                <w:sz w:val="24"/>
                <w:szCs w:val="24"/>
              </w:rPr>
              <w:t xml:space="preserve">the </w:t>
            </w:r>
            <w:r w:rsidRPr="00BE4AE7">
              <w:rPr>
                <w:rFonts w:ascii="Arial" w:hAnsi="Arial" w:cs="Arial"/>
                <w:sz w:val="24"/>
                <w:szCs w:val="24"/>
              </w:rPr>
              <w:t xml:space="preserve">LDP process – do not provide a site with only a red line around it when submitting candidate sites to the LPA.   Developers / land owners need to demonstrate that the site is suitable for development and </w:t>
            </w:r>
            <w:r w:rsidR="004A59D4">
              <w:rPr>
                <w:rFonts w:ascii="Arial" w:hAnsi="Arial" w:cs="Arial"/>
                <w:sz w:val="24"/>
                <w:szCs w:val="24"/>
              </w:rPr>
              <w:t xml:space="preserve">such development is </w:t>
            </w:r>
            <w:r w:rsidRPr="00BE4AE7">
              <w:rPr>
                <w:rFonts w:ascii="Arial" w:hAnsi="Arial" w:cs="Arial"/>
                <w:sz w:val="24"/>
                <w:szCs w:val="24"/>
              </w:rPr>
              <w:t xml:space="preserve">deliverable.  </w:t>
            </w: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 xml:space="preserve">Have the </w:t>
            </w:r>
            <w:r w:rsidR="00074867">
              <w:rPr>
                <w:rFonts w:ascii="Arial" w:hAnsi="Arial" w:cs="Arial"/>
                <w:sz w:val="24"/>
                <w:szCs w:val="24"/>
              </w:rPr>
              <w:t>D</w:t>
            </w:r>
            <w:r w:rsidRPr="00B05465">
              <w:rPr>
                <w:rFonts w:ascii="Arial" w:hAnsi="Arial" w:cs="Arial"/>
                <w:sz w:val="24"/>
                <w:szCs w:val="24"/>
              </w:rPr>
              <w:t>evelopers</w:t>
            </w:r>
            <w:r w:rsidR="00074867">
              <w:rPr>
                <w:rFonts w:ascii="Arial" w:hAnsi="Arial" w:cs="Arial"/>
                <w:sz w:val="24"/>
                <w:szCs w:val="24"/>
              </w:rPr>
              <w:t xml:space="preserve"> had early discussions with CTC</w:t>
            </w:r>
            <w:r w:rsidRPr="00B05465">
              <w:rPr>
                <w:rFonts w:ascii="Arial" w:hAnsi="Arial" w:cs="Arial"/>
                <w:sz w:val="24"/>
                <w:szCs w:val="24"/>
              </w:rPr>
              <w:t xml:space="preserve">s – consultation at </w:t>
            </w:r>
            <w:r w:rsidR="00074867">
              <w:rPr>
                <w:rFonts w:ascii="Arial" w:hAnsi="Arial" w:cs="Arial"/>
                <w:sz w:val="24"/>
                <w:szCs w:val="24"/>
              </w:rPr>
              <w:t>an</w:t>
            </w:r>
            <w:r w:rsidRPr="00B05465">
              <w:rPr>
                <w:rFonts w:ascii="Arial" w:hAnsi="Arial" w:cs="Arial"/>
                <w:sz w:val="24"/>
                <w:szCs w:val="24"/>
              </w:rPr>
              <w:t xml:space="preserve"> appropriate time </w:t>
            </w:r>
            <w:r w:rsidR="00403E2A">
              <w:rPr>
                <w:rFonts w:ascii="Arial" w:hAnsi="Arial" w:cs="Arial"/>
                <w:sz w:val="24"/>
                <w:szCs w:val="24"/>
              </w:rPr>
              <w:t xml:space="preserve">might help </w:t>
            </w:r>
            <w:r w:rsidRPr="00B05465">
              <w:rPr>
                <w:rFonts w:ascii="Arial" w:hAnsi="Arial" w:cs="Arial"/>
                <w:sz w:val="24"/>
                <w:szCs w:val="24"/>
              </w:rPr>
              <w:t xml:space="preserve">ensure that </w:t>
            </w:r>
            <w:r w:rsidR="00403E2A">
              <w:rPr>
                <w:rFonts w:ascii="Arial" w:hAnsi="Arial" w:cs="Arial"/>
                <w:sz w:val="24"/>
                <w:szCs w:val="24"/>
              </w:rPr>
              <w:t xml:space="preserve">more </w:t>
            </w:r>
            <w:r w:rsidRPr="00B05465">
              <w:rPr>
                <w:rFonts w:ascii="Arial" w:hAnsi="Arial" w:cs="Arial"/>
                <w:sz w:val="24"/>
                <w:szCs w:val="24"/>
              </w:rPr>
              <w:t xml:space="preserve">sites are </w:t>
            </w:r>
            <w:r w:rsidR="00403E2A">
              <w:rPr>
                <w:rFonts w:ascii="Arial" w:hAnsi="Arial" w:cs="Arial"/>
                <w:sz w:val="24"/>
                <w:szCs w:val="24"/>
              </w:rPr>
              <w:t xml:space="preserve">supported </w:t>
            </w:r>
            <w:r w:rsidRPr="00B05465">
              <w:rPr>
                <w:rFonts w:ascii="Arial" w:hAnsi="Arial" w:cs="Arial"/>
                <w:sz w:val="24"/>
                <w:szCs w:val="24"/>
              </w:rPr>
              <w:t xml:space="preserve">by communities before they </w:t>
            </w:r>
            <w:r w:rsidR="00403E2A" w:rsidRPr="00B05465">
              <w:rPr>
                <w:rFonts w:ascii="Arial" w:hAnsi="Arial" w:cs="Arial"/>
                <w:sz w:val="24"/>
                <w:szCs w:val="24"/>
              </w:rPr>
              <w:t>proceed</w:t>
            </w:r>
            <w:r w:rsidRPr="00B05465">
              <w:rPr>
                <w:rFonts w:ascii="Arial" w:hAnsi="Arial" w:cs="Arial"/>
                <w:sz w:val="24"/>
                <w:szCs w:val="24"/>
              </w:rPr>
              <w:t xml:space="preserve"> to the candidate sit</w:t>
            </w:r>
            <w:r w:rsidR="00074867">
              <w:rPr>
                <w:rFonts w:ascii="Arial" w:hAnsi="Arial" w:cs="Arial"/>
                <w:sz w:val="24"/>
                <w:szCs w:val="24"/>
              </w:rPr>
              <w:t>e stage of the LDP.  Should LPA</w:t>
            </w:r>
            <w:r w:rsidRPr="00B05465">
              <w:rPr>
                <w:rFonts w:ascii="Arial" w:hAnsi="Arial" w:cs="Arial"/>
                <w:sz w:val="24"/>
                <w:szCs w:val="24"/>
              </w:rPr>
              <w:t>s be reques</w:t>
            </w:r>
            <w:r w:rsidR="00074867">
              <w:rPr>
                <w:rFonts w:ascii="Arial" w:hAnsi="Arial" w:cs="Arial"/>
                <w:sz w:val="24"/>
                <w:szCs w:val="24"/>
              </w:rPr>
              <w:t>ting that consultation with CTC</w:t>
            </w:r>
            <w:r w:rsidRPr="00B05465">
              <w:rPr>
                <w:rFonts w:ascii="Arial" w:hAnsi="Arial" w:cs="Arial"/>
                <w:sz w:val="24"/>
                <w:szCs w:val="24"/>
              </w:rPr>
              <w:t xml:space="preserve">s </w:t>
            </w:r>
            <w:r w:rsidR="00074867">
              <w:rPr>
                <w:rFonts w:ascii="Arial" w:hAnsi="Arial" w:cs="Arial"/>
                <w:sz w:val="24"/>
                <w:szCs w:val="24"/>
              </w:rPr>
              <w:t>be</w:t>
            </w:r>
            <w:r w:rsidRPr="00B05465">
              <w:rPr>
                <w:rFonts w:ascii="Arial" w:hAnsi="Arial" w:cs="Arial"/>
                <w:sz w:val="24"/>
                <w:szCs w:val="24"/>
              </w:rPr>
              <w:t xml:space="preserve"> undertaken prior to submission as a candidate site? </w:t>
            </w: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A more stringent Development Management process in terms of applications being extended beyond the five yea</w:t>
            </w:r>
            <w:r w:rsidR="003E3E4F">
              <w:rPr>
                <w:rFonts w:ascii="Arial" w:hAnsi="Arial" w:cs="Arial"/>
                <w:sz w:val="24"/>
                <w:szCs w:val="24"/>
              </w:rPr>
              <w:t>r</w:t>
            </w:r>
            <w:r w:rsidRPr="00B05465">
              <w:rPr>
                <w:rFonts w:ascii="Arial" w:hAnsi="Arial" w:cs="Arial"/>
                <w:sz w:val="24"/>
                <w:szCs w:val="24"/>
              </w:rPr>
              <w:t>s originally permitted.  Some permissions are continually extended and land not delivered for housing</w:t>
            </w:r>
            <w:r>
              <w:rPr>
                <w:rFonts w:ascii="Arial" w:hAnsi="Arial" w:cs="Arial"/>
                <w:sz w:val="24"/>
                <w:szCs w:val="24"/>
              </w:rPr>
              <w:t xml:space="preserve"> (</w:t>
            </w:r>
            <w:r w:rsidR="003E3E4F">
              <w:rPr>
                <w:rFonts w:ascii="Arial" w:hAnsi="Arial" w:cs="Arial"/>
                <w:sz w:val="24"/>
                <w:szCs w:val="24"/>
              </w:rPr>
              <w:t>D</w:t>
            </w:r>
            <w:r>
              <w:rPr>
                <w:rFonts w:ascii="Arial" w:hAnsi="Arial" w:cs="Arial"/>
                <w:sz w:val="24"/>
                <w:szCs w:val="24"/>
              </w:rPr>
              <w:t>evelopers ‘sitting on</w:t>
            </w:r>
            <w:r w:rsidRPr="00B05465">
              <w:rPr>
                <w:rFonts w:ascii="Arial" w:hAnsi="Arial" w:cs="Arial"/>
                <w:sz w:val="24"/>
                <w:szCs w:val="24"/>
              </w:rPr>
              <w:t xml:space="preserve"> land</w:t>
            </w:r>
            <w:r>
              <w:rPr>
                <w:rFonts w:ascii="Arial" w:hAnsi="Arial" w:cs="Arial"/>
                <w:sz w:val="24"/>
                <w:szCs w:val="24"/>
              </w:rPr>
              <w:t>’</w:t>
            </w:r>
            <w:r w:rsidRPr="00B05465">
              <w:rPr>
                <w:rFonts w:ascii="Arial" w:hAnsi="Arial" w:cs="Arial"/>
                <w:sz w:val="24"/>
                <w:szCs w:val="24"/>
              </w:rPr>
              <w:t xml:space="preserve"> for </w:t>
            </w:r>
            <w:r>
              <w:rPr>
                <w:rFonts w:ascii="Arial" w:hAnsi="Arial" w:cs="Arial"/>
                <w:sz w:val="24"/>
                <w:szCs w:val="24"/>
              </w:rPr>
              <w:t>a variety of</w:t>
            </w:r>
            <w:r w:rsidRPr="00B05465">
              <w:rPr>
                <w:rFonts w:ascii="Arial" w:hAnsi="Arial" w:cs="Arial"/>
                <w:sz w:val="24"/>
                <w:szCs w:val="24"/>
              </w:rPr>
              <w:t xml:space="preserve"> reasons</w:t>
            </w:r>
            <w:r>
              <w:rPr>
                <w:rFonts w:ascii="Arial" w:hAnsi="Arial" w:cs="Arial"/>
                <w:sz w:val="24"/>
                <w:szCs w:val="24"/>
              </w:rPr>
              <w:t xml:space="preserve">). More stringent rules on what constitutes ‘commencement’ would be beneficial. </w:t>
            </w: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 xml:space="preserve">Early engagement </w:t>
            </w:r>
            <w:r w:rsidR="003E3E4F">
              <w:rPr>
                <w:rFonts w:ascii="Arial" w:hAnsi="Arial" w:cs="Arial"/>
                <w:sz w:val="24"/>
                <w:szCs w:val="24"/>
              </w:rPr>
              <w:t>with</w:t>
            </w:r>
            <w:r w:rsidRPr="00B05465">
              <w:rPr>
                <w:rFonts w:ascii="Arial" w:hAnsi="Arial" w:cs="Arial"/>
                <w:sz w:val="24"/>
                <w:szCs w:val="24"/>
              </w:rPr>
              <w:t xml:space="preserve"> communities – producing Place Plans to ensure that the communities wishes are known by local land owners and </w:t>
            </w:r>
            <w:r w:rsidR="003E3E4F">
              <w:rPr>
                <w:rFonts w:ascii="Arial" w:hAnsi="Arial" w:cs="Arial"/>
                <w:sz w:val="24"/>
                <w:szCs w:val="24"/>
              </w:rPr>
              <w:t>D</w:t>
            </w:r>
            <w:r w:rsidRPr="00B05465">
              <w:rPr>
                <w:rFonts w:ascii="Arial" w:hAnsi="Arial" w:cs="Arial"/>
                <w:sz w:val="24"/>
                <w:szCs w:val="24"/>
              </w:rPr>
              <w:t>evelopers.  This</w:t>
            </w:r>
            <w:r>
              <w:rPr>
                <w:rFonts w:ascii="Arial" w:hAnsi="Arial" w:cs="Arial"/>
                <w:sz w:val="24"/>
                <w:szCs w:val="24"/>
              </w:rPr>
              <w:t xml:space="preserve"> should</w:t>
            </w:r>
            <w:r w:rsidRPr="00B05465">
              <w:rPr>
                <w:rFonts w:ascii="Arial" w:hAnsi="Arial" w:cs="Arial"/>
                <w:sz w:val="24"/>
                <w:szCs w:val="24"/>
              </w:rPr>
              <w:t xml:space="preserve"> save time at the planning stages and may ensure </w:t>
            </w:r>
            <w:r w:rsidR="003E3E4F">
              <w:rPr>
                <w:rFonts w:ascii="Arial" w:hAnsi="Arial" w:cs="Arial"/>
                <w:sz w:val="24"/>
                <w:szCs w:val="24"/>
              </w:rPr>
              <w:t xml:space="preserve">that </w:t>
            </w:r>
            <w:r w:rsidRPr="00B05465">
              <w:rPr>
                <w:rFonts w:ascii="Arial" w:hAnsi="Arial" w:cs="Arial"/>
                <w:sz w:val="24"/>
                <w:szCs w:val="24"/>
              </w:rPr>
              <w:t xml:space="preserve">permissions that would </w:t>
            </w:r>
            <w:r>
              <w:rPr>
                <w:rFonts w:ascii="Arial" w:hAnsi="Arial" w:cs="Arial"/>
                <w:sz w:val="24"/>
                <w:szCs w:val="24"/>
              </w:rPr>
              <w:t>otherwise</w:t>
            </w:r>
            <w:r w:rsidRPr="00B05465">
              <w:rPr>
                <w:rFonts w:ascii="Arial" w:hAnsi="Arial" w:cs="Arial"/>
                <w:sz w:val="24"/>
                <w:szCs w:val="24"/>
              </w:rPr>
              <w:t xml:space="preserve"> have been held up are </w:t>
            </w:r>
            <w:r w:rsidR="001F1C61">
              <w:rPr>
                <w:rFonts w:ascii="Arial" w:hAnsi="Arial" w:cs="Arial"/>
                <w:sz w:val="24"/>
                <w:szCs w:val="24"/>
              </w:rPr>
              <w:t>less contentious /</w:t>
            </w:r>
            <w:r w:rsidRPr="00B05465">
              <w:rPr>
                <w:rFonts w:ascii="Arial" w:hAnsi="Arial" w:cs="Arial"/>
                <w:sz w:val="24"/>
                <w:szCs w:val="24"/>
              </w:rPr>
              <w:t xml:space="preserve"> </w:t>
            </w:r>
            <w:r>
              <w:rPr>
                <w:rFonts w:ascii="Arial" w:hAnsi="Arial" w:cs="Arial"/>
                <w:sz w:val="24"/>
                <w:szCs w:val="24"/>
              </w:rPr>
              <w:t>decided earlier</w:t>
            </w:r>
            <w:r w:rsidRPr="00B05465">
              <w:rPr>
                <w:rFonts w:ascii="Arial" w:hAnsi="Arial" w:cs="Arial"/>
                <w:sz w:val="24"/>
                <w:szCs w:val="24"/>
              </w:rPr>
              <w:t>.</w:t>
            </w: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Should LPAs consider imposing conditions that development must begin within a timescale shorter than the relevant default period?  (</w:t>
            </w:r>
            <w:r w:rsidRPr="00B05465">
              <w:rPr>
                <w:rFonts w:ascii="Arial" w:hAnsi="Arial" w:cs="Arial"/>
                <w:i/>
                <w:sz w:val="24"/>
                <w:szCs w:val="24"/>
              </w:rPr>
              <w:t xml:space="preserve">this is mentioned in NPPF) </w:t>
            </w: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 xml:space="preserve">Place Plans </w:t>
            </w:r>
            <w:r w:rsidR="002F7BA8">
              <w:rPr>
                <w:rFonts w:ascii="Arial" w:hAnsi="Arial" w:cs="Arial"/>
                <w:sz w:val="24"/>
                <w:szCs w:val="24"/>
              </w:rPr>
              <w:t>should</w:t>
            </w:r>
            <w:r w:rsidRPr="00B05465">
              <w:rPr>
                <w:rFonts w:ascii="Arial" w:hAnsi="Arial" w:cs="Arial"/>
                <w:sz w:val="24"/>
                <w:szCs w:val="24"/>
              </w:rPr>
              <w:t xml:space="preserve"> be encouraged by LPA</w:t>
            </w:r>
            <w:r w:rsidR="002F7BA8">
              <w:rPr>
                <w:rFonts w:ascii="Arial" w:hAnsi="Arial" w:cs="Arial"/>
                <w:sz w:val="24"/>
                <w:szCs w:val="24"/>
              </w:rPr>
              <w:t>s</w:t>
            </w:r>
            <w:r w:rsidRPr="00B05465">
              <w:rPr>
                <w:rFonts w:ascii="Arial" w:hAnsi="Arial" w:cs="Arial"/>
                <w:sz w:val="24"/>
                <w:szCs w:val="24"/>
              </w:rPr>
              <w:t xml:space="preserve"> - local community “right to plan” to assist with the LDP process. </w:t>
            </w: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 xml:space="preserve">Should encourage a front-loaded system </w:t>
            </w:r>
            <w:r>
              <w:rPr>
                <w:rFonts w:ascii="Arial" w:hAnsi="Arial" w:cs="Arial"/>
                <w:sz w:val="24"/>
                <w:szCs w:val="24"/>
              </w:rPr>
              <w:t>via</w:t>
            </w:r>
            <w:r w:rsidRPr="00B05465">
              <w:rPr>
                <w:rFonts w:ascii="Arial" w:hAnsi="Arial" w:cs="Arial"/>
                <w:sz w:val="24"/>
                <w:szCs w:val="24"/>
              </w:rPr>
              <w:t xml:space="preserve"> early </w:t>
            </w:r>
            <w:r>
              <w:rPr>
                <w:rFonts w:ascii="Arial" w:hAnsi="Arial" w:cs="Arial"/>
                <w:sz w:val="24"/>
                <w:szCs w:val="24"/>
              </w:rPr>
              <w:t>involvement of</w:t>
            </w:r>
            <w:r w:rsidRPr="00B05465">
              <w:rPr>
                <w:rFonts w:ascii="Arial" w:hAnsi="Arial" w:cs="Arial"/>
                <w:sz w:val="24"/>
                <w:szCs w:val="24"/>
              </w:rPr>
              <w:t xml:space="preserve"> communities </w:t>
            </w:r>
            <w:r>
              <w:rPr>
                <w:rFonts w:ascii="Arial" w:hAnsi="Arial" w:cs="Arial"/>
                <w:sz w:val="24"/>
                <w:szCs w:val="24"/>
              </w:rPr>
              <w:t>re</w:t>
            </w:r>
            <w:r w:rsidRPr="00B05465">
              <w:rPr>
                <w:rFonts w:ascii="Arial" w:hAnsi="Arial" w:cs="Arial"/>
                <w:sz w:val="24"/>
                <w:szCs w:val="24"/>
              </w:rPr>
              <w:t xml:space="preserve"> the size, type and tenure of housing needed for different groups in the community – to inform the LDP process</w:t>
            </w:r>
            <w:r w:rsidR="003E3E4F">
              <w:rPr>
                <w:rFonts w:ascii="Arial" w:hAnsi="Arial" w:cs="Arial"/>
                <w:sz w:val="24"/>
                <w:szCs w:val="24"/>
              </w:rPr>
              <w:t xml:space="preserve"> early on</w:t>
            </w:r>
            <w:r w:rsidRPr="00B05465">
              <w:rPr>
                <w:rFonts w:ascii="Arial" w:hAnsi="Arial" w:cs="Arial"/>
                <w:sz w:val="24"/>
                <w:szCs w:val="24"/>
              </w:rPr>
              <w:t xml:space="preserve">. </w:t>
            </w: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Pr>
                <w:rFonts w:ascii="Arial" w:hAnsi="Arial" w:cs="Arial"/>
                <w:sz w:val="24"/>
                <w:szCs w:val="24"/>
              </w:rPr>
              <w:t>S106 discussions usually take place early on, with results reflected in the Committee report</w:t>
            </w:r>
            <w:r w:rsidR="002F7BA8">
              <w:rPr>
                <w:rFonts w:ascii="Arial" w:hAnsi="Arial" w:cs="Arial"/>
                <w:sz w:val="24"/>
                <w:szCs w:val="24"/>
              </w:rPr>
              <w:t>.</w:t>
            </w:r>
            <w:r>
              <w:rPr>
                <w:rFonts w:ascii="Arial" w:hAnsi="Arial" w:cs="Arial"/>
                <w:sz w:val="24"/>
                <w:szCs w:val="24"/>
              </w:rPr>
              <w:t xml:space="preserve">  It would help to build public trust if subsequent changes to S106 were subject to public scrutiny.</w:t>
            </w:r>
          </w:p>
          <w:p w:rsidR="00363DE1" w:rsidRPr="00B05465" w:rsidRDefault="00363DE1" w:rsidP="00363DE1">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Use of Community Council to look at local sites. Rather than solely look</w:t>
            </w:r>
            <w:r w:rsidR="00890FB7">
              <w:rPr>
                <w:rFonts w:ascii="Arial" w:hAnsi="Arial" w:cs="Arial"/>
                <w:sz w:val="24"/>
                <w:szCs w:val="24"/>
              </w:rPr>
              <w:t>ing</w:t>
            </w:r>
            <w:r w:rsidRPr="00B05465">
              <w:rPr>
                <w:rFonts w:ascii="Arial" w:hAnsi="Arial" w:cs="Arial"/>
                <w:sz w:val="24"/>
                <w:szCs w:val="24"/>
              </w:rPr>
              <w:t xml:space="preserve"> at large sites</w:t>
            </w:r>
            <w:r w:rsidR="00890FB7">
              <w:rPr>
                <w:rFonts w:ascii="Arial" w:hAnsi="Arial" w:cs="Arial"/>
                <w:sz w:val="24"/>
                <w:szCs w:val="24"/>
              </w:rPr>
              <w:t>,</w:t>
            </w:r>
            <w:r w:rsidRPr="00B05465">
              <w:rPr>
                <w:rFonts w:ascii="Arial" w:hAnsi="Arial" w:cs="Arial"/>
                <w:sz w:val="24"/>
                <w:szCs w:val="24"/>
              </w:rPr>
              <w:t xml:space="preserve"> greater recognition of small to medium sites within towns and villages. These are likely to have less difficult land ownership</w:t>
            </w:r>
            <w:r w:rsidR="00890FB7">
              <w:rPr>
                <w:rFonts w:ascii="Arial" w:hAnsi="Arial" w:cs="Arial"/>
                <w:sz w:val="24"/>
                <w:szCs w:val="24"/>
              </w:rPr>
              <w:t xml:space="preserve"> issues</w:t>
            </w:r>
            <w:r w:rsidRPr="00B05465">
              <w:rPr>
                <w:rFonts w:ascii="Arial" w:hAnsi="Arial" w:cs="Arial"/>
                <w:sz w:val="24"/>
                <w:szCs w:val="24"/>
              </w:rPr>
              <w:t xml:space="preserve"> and </w:t>
            </w:r>
            <w:r w:rsidR="00890FB7">
              <w:rPr>
                <w:rFonts w:ascii="Arial" w:hAnsi="Arial" w:cs="Arial"/>
                <w:sz w:val="24"/>
                <w:szCs w:val="24"/>
              </w:rPr>
              <w:t xml:space="preserve">may </w:t>
            </w:r>
            <w:r w:rsidRPr="00B05465">
              <w:rPr>
                <w:rFonts w:ascii="Arial" w:hAnsi="Arial" w:cs="Arial"/>
                <w:sz w:val="24"/>
                <w:szCs w:val="24"/>
              </w:rPr>
              <w:lastRenderedPageBreak/>
              <w:t>also be delivered quicker due to scale.</w:t>
            </w:r>
          </w:p>
          <w:p w:rsidR="00360A33" w:rsidRPr="00CE73C4" w:rsidRDefault="00363DE1" w:rsidP="00CE73C4">
            <w:pPr>
              <w:pStyle w:val="ListParagraph"/>
              <w:numPr>
                <w:ilvl w:val="0"/>
                <w:numId w:val="20"/>
              </w:numPr>
              <w:spacing w:after="240" w:line="259" w:lineRule="auto"/>
              <w:ind w:hanging="720"/>
              <w:contextualSpacing w:val="0"/>
              <w:rPr>
                <w:rFonts w:ascii="Arial" w:hAnsi="Arial" w:cs="Arial"/>
                <w:sz w:val="24"/>
                <w:szCs w:val="24"/>
              </w:rPr>
            </w:pPr>
            <w:r w:rsidRPr="00B05465">
              <w:rPr>
                <w:rFonts w:ascii="Arial" w:hAnsi="Arial" w:cs="Arial"/>
                <w:sz w:val="24"/>
                <w:szCs w:val="24"/>
              </w:rPr>
              <w:t>Prepare brownfield land register which is reviewed annually.</w:t>
            </w:r>
          </w:p>
        </w:tc>
      </w:tr>
    </w:tbl>
    <w:p w:rsidR="0054629E" w:rsidRDefault="0054629E" w:rsidP="008378DD">
      <w:pPr>
        <w:rPr>
          <w:highlight w:val="yellow"/>
        </w:rPr>
      </w:pPr>
    </w:p>
    <w:p w:rsidR="001F152B" w:rsidRPr="001F152B" w:rsidRDefault="001F152B" w:rsidP="001F152B">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F152B" w:rsidRPr="001F152B" w:rsidTr="001F152B">
        <w:tc>
          <w:tcPr>
            <w:tcW w:w="1384" w:type="dxa"/>
            <w:shd w:val="clear" w:color="auto" w:fill="7030A0"/>
          </w:tcPr>
          <w:p w:rsidR="001F152B" w:rsidRPr="002A6261" w:rsidRDefault="001F152B" w:rsidP="001F152B">
            <w:pPr>
              <w:rPr>
                <w:b/>
                <w:color w:val="FFFFFF" w:themeColor="background1"/>
              </w:rPr>
            </w:pPr>
          </w:p>
          <w:p w:rsidR="001F152B" w:rsidRPr="002A6261" w:rsidRDefault="001F152B" w:rsidP="001F152B">
            <w:pPr>
              <w:rPr>
                <w:b/>
                <w:color w:val="FFFFFF" w:themeColor="background1"/>
              </w:rPr>
            </w:pPr>
          </w:p>
          <w:p w:rsidR="00276CD0" w:rsidRPr="002A6261" w:rsidRDefault="002A6261" w:rsidP="001F152B">
            <w:pPr>
              <w:rPr>
                <w:b/>
                <w:color w:val="FFFFFF" w:themeColor="background1"/>
              </w:rPr>
            </w:pPr>
            <w:r w:rsidRPr="002A6261">
              <w:rPr>
                <w:b/>
                <w:color w:val="FFFFFF" w:themeColor="background1"/>
              </w:rPr>
              <w:t>Q3</w:t>
            </w:r>
          </w:p>
        </w:tc>
        <w:tc>
          <w:tcPr>
            <w:tcW w:w="7858" w:type="dxa"/>
            <w:shd w:val="clear" w:color="auto" w:fill="B2A1C7" w:themeFill="accent4" w:themeFillTint="99"/>
          </w:tcPr>
          <w:p w:rsidR="001F152B" w:rsidRPr="001F152B" w:rsidRDefault="001F152B" w:rsidP="00276CD0">
            <w:pPr>
              <w:spacing w:line="360" w:lineRule="auto"/>
            </w:pPr>
          </w:p>
          <w:p w:rsidR="001F152B" w:rsidRPr="001F152B" w:rsidRDefault="002A6261" w:rsidP="00276CD0">
            <w:pPr>
              <w:spacing w:line="360" w:lineRule="auto"/>
            </w:pPr>
            <w:r w:rsidRPr="002A6261">
              <w:t xml:space="preserve">What evidence is necessary to demonstrate the deliverability of sites which make up the </w:t>
            </w:r>
            <w:r w:rsidR="00E92AE9">
              <w:t xml:space="preserve">housing </w:t>
            </w:r>
            <w:r w:rsidRPr="002A6261">
              <w:t>requirement?</w:t>
            </w:r>
          </w:p>
        </w:tc>
      </w:tr>
      <w:tr w:rsidR="001F152B" w:rsidRPr="001F152B" w:rsidTr="001F152B">
        <w:tc>
          <w:tcPr>
            <w:tcW w:w="9242" w:type="dxa"/>
            <w:gridSpan w:val="2"/>
          </w:tcPr>
          <w:p w:rsidR="001F152B" w:rsidRPr="001F152B" w:rsidRDefault="001F152B" w:rsidP="001F152B">
            <w:pPr>
              <w:rPr>
                <w:b/>
              </w:rPr>
            </w:pPr>
          </w:p>
        </w:tc>
      </w:tr>
      <w:tr w:rsidR="001F152B" w:rsidRPr="001F152B" w:rsidTr="001F152B">
        <w:tc>
          <w:tcPr>
            <w:tcW w:w="9242" w:type="dxa"/>
            <w:gridSpan w:val="2"/>
            <w:shd w:val="clear" w:color="auto" w:fill="B2A1C7" w:themeFill="accent4" w:themeFillTint="99"/>
          </w:tcPr>
          <w:p w:rsidR="001F152B" w:rsidRPr="001F152B" w:rsidRDefault="001F152B" w:rsidP="001F152B">
            <w:pPr>
              <w:rPr>
                <w:b/>
              </w:rPr>
            </w:pPr>
            <w:r w:rsidRPr="001F152B">
              <w:rPr>
                <w:b/>
              </w:rPr>
              <w:t>Comments</w:t>
            </w:r>
          </w:p>
        </w:tc>
      </w:tr>
      <w:tr w:rsidR="001F152B" w:rsidRPr="001F152B" w:rsidTr="001F152B">
        <w:tc>
          <w:tcPr>
            <w:tcW w:w="9242" w:type="dxa"/>
            <w:gridSpan w:val="2"/>
          </w:tcPr>
          <w:p w:rsidR="001F152B" w:rsidRPr="001F152B" w:rsidRDefault="001F152B" w:rsidP="001F152B">
            <w:pPr>
              <w:rPr>
                <w:highlight w:val="yellow"/>
              </w:rPr>
            </w:pPr>
          </w:p>
          <w:p w:rsidR="00CE73C4" w:rsidRPr="00492DA0" w:rsidRDefault="00CE73C4" w:rsidP="00CE73C4">
            <w:pPr>
              <w:pStyle w:val="ListParagraph"/>
              <w:numPr>
                <w:ilvl w:val="0"/>
                <w:numId w:val="21"/>
              </w:numPr>
              <w:spacing w:after="240" w:line="259" w:lineRule="auto"/>
              <w:ind w:hanging="720"/>
              <w:contextualSpacing w:val="0"/>
              <w:rPr>
                <w:rFonts w:ascii="Arial" w:hAnsi="Arial" w:cs="Arial"/>
                <w:sz w:val="24"/>
                <w:szCs w:val="24"/>
              </w:rPr>
            </w:pPr>
            <w:r w:rsidRPr="00492DA0">
              <w:rPr>
                <w:rFonts w:ascii="Arial" w:hAnsi="Arial" w:cs="Arial"/>
                <w:sz w:val="24"/>
                <w:szCs w:val="24"/>
              </w:rPr>
              <w:t>LPAs need to pass the onus of evidence to landowners / housebuilders to ensure that all site checks have been undertaken prior to submi</w:t>
            </w:r>
            <w:r w:rsidR="0070759A">
              <w:rPr>
                <w:rFonts w:ascii="Arial" w:hAnsi="Arial" w:cs="Arial"/>
                <w:sz w:val="24"/>
                <w:szCs w:val="24"/>
              </w:rPr>
              <w:t>ssion</w:t>
            </w:r>
            <w:r w:rsidRPr="00492DA0">
              <w:rPr>
                <w:rFonts w:ascii="Arial" w:hAnsi="Arial" w:cs="Arial"/>
                <w:sz w:val="24"/>
                <w:szCs w:val="24"/>
              </w:rPr>
              <w:t xml:space="preserve"> as a candidate site e.g. Ecology reports / land contamination reports / flood consequence assessments / viability reports/ highway assessments.  LPAs through the LDP need to assess this evidence with statutory bodies (e.g. NRW) to ensure that any land put forward in plans is ready to be developed. Without the evidence of deliverability</w:t>
            </w:r>
            <w:r w:rsidR="003C7840">
              <w:rPr>
                <w:rFonts w:ascii="Arial" w:hAnsi="Arial" w:cs="Arial"/>
                <w:sz w:val="24"/>
                <w:szCs w:val="24"/>
              </w:rPr>
              <w:t>,</w:t>
            </w:r>
            <w:r w:rsidRPr="00492DA0">
              <w:rPr>
                <w:rFonts w:ascii="Arial" w:hAnsi="Arial" w:cs="Arial"/>
                <w:sz w:val="24"/>
                <w:szCs w:val="24"/>
              </w:rPr>
              <w:t xml:space="preserve"> land should not be included within a LDP. </w:t>
            </w:r>
          </w:p>
          <w:p w:rsidR="00CE73C4" w:rsidRPr="00492DA0" w:rsidRDefault="00CE73C4" w:rsidP="00CE73C4">
            <w:pPr>
              <w:pStyle w:val="ListParagraph"/>
              <w:numPr>
                <w:ilvl w:val="0"/>
                <w:numId w:val="21"/>
              </w:numPr>
              <w:spacing w:after="240" w:line="259" w:lineRule="auto"/>
              <w:ind w:hanging="720"/>
              <w:contextualSpacing w:val="0"/>
              <w:rPr>
                <w:rFonts w:ascii="Arial" w:hAnsi="Arial" w:cs="Arial"/>
                <w:sz w:val="24"/>
                <w:szCs w:val="24"/>
              </w:rPr>
            </w:pPr>
            <w:r w:rsidRPr="00492DA0">
              <w:rPr>
                <w:rFonts w:ascii="Arial" w:hAnsi="Arial" w:cs="Arial"/>
                <w:sz w:val="24"/>
                <w:szCs w:val="24"/>
              </w:rPr>
              <w:t xml:space="preserve">Landowners want their land allocated for financial gain – and do not necessarily wish to undertake viability / deliverability reports – this somehow needs to form part of the LDP process. </w:t>
            </w:r>
          </w:p>
          <w:p w:rsidR="00CE73C4" w:rsidRPr="00492DA0" w:rsidRDefault="00CE73C4" w:rsidP="00CE73C4">
            <w:pPr>
              <w:pStyle w:val="ListParagraph"/>
              <w:numPr>
                <w:ilvl w:val="0"/>
                <w:numId w:val="21"/>
              </w:numPr>
              <w:spacing w:after="240" w:line="259" w:lineRule="auto"/>
              <w:ind w:hanging="720"/>
              <w:contextualSpacing w:val="0"/>
              <w:rPr>
                <w:rFonts w:ascii="Arial" w:hAnsi="Arial" w:cs="Arial"/>
                <w:sz w:val="24"/>
                <w:szCs w:val="24"/>
              </w:rPr>
            </w:pPr>
            <w:r w:rsidRPr="00492DA0">
              <w:rPr>
                <w:rFonts w:ascii="Arial" w:hAnsi="Arial" w:cs="Arial"/>
                <w:sz w:val="24"/>
                <w:szCs w:val="24"/>
              </w:rPr>
              <w:t>Local communities are best placed to give advice on land within their areas (historical evidence) how the land drains, does it flood, important flora or fauna – early interaction with communities to assess the suitability of sites will ensure those without constraints are put forward within the development plan for delivery.  Developers should work with their local communities early on to obtain such advice – could this be through Place Plans?</w:t>
            </w:r>
          </w:p>
          <w:p w:rsidR="00CE73C4" w:rsidRPr="00492DA0" w:rsidRDefault="00CE73C4" w:rsidP="00CE73C4">
            <w:pPr>
              <w:pStyle w:val="ListParagraph"/>
              <w:numPr>
                <w:ilvl w:val="0"/>
                <w:numId w:val="21"/>
              </w:numPr>
              <w:spacing w:after="240" w:line="259" w:lineRule="auto"/>
              <w:ind w:hanging="720"/>
              <w:contextualSpacing w:val="0"/>
              <w:rPr>
                <w:rFonts w:ascii="Arial" w:hAnsi="Arial" w:cs="Arial"/>
                <w:sz w:val="24"/>
                <w:szCs w:val="24"/>
              </w:rPr>
            </w:pPr>
            <w:r w:rsidRPr="00492DA0">
              <w:rPr>
                <w:rFonts w:ascii="Arial" w:hAnsi="Arial" w:cs="Arial"/>
                <w:sz w:val="24"/>
                <w:szCs w:val="24"/>
              </w:rPr>
              <w:t>Dev</w:t>
            </w:r>
            <w:r w:rsidR="003C7840">
              <w:rPr>
                <w:rFonts w:ascii="Arial" w:hAnsi="Arial" w:cs="Arial"/>
                <w:sz w:val="24"/>
                <w:szCs w:val="24"/>
              </w:rPr>
              <w:t>elopment Briefs prepared by LPA</w:t>
            </w:r>
            <w:r w:rsidRPr="00492DA0">
              <w:rPr>
                <w:rFonts w:ascii="Arial" w:hAnsi="Arial" w:cs="Arial"/>
                <w:sz w:val="24"/>
                <w:szCs w:val="24"/>
              </w:rPr>
              <w:t xml:space="preserve">s will assist in bringing small to medium sized sites forward. </w:t>
            </w:r>
          </w:p>
          <w:p w:rsidR="00CE73C4" w:rsidRPr="00492DA0" w:rsidRDefault="00CE73C4" w:rsidP="00CE73C4">
            <w:pPr>
              <w:pStyle w:val="ListParagraph"/>
              <w:numPr>
                <w:ilvl w:val="0"/>
                <w:numId w:val="21"/>
              </w:numPr>
              <w:spacing w:after="240" w:line="259" w:lineRule="auto"/>
              <w:ind w:hanging="720"/>
              <w:contextualSpacing w:val="0"/>
              <w:rPr>
                <w:rFonts w:ascii="Arial" w:hAnsi="Arial" w:cs="Arial"/>
                <w:sz w:val="24"/>
                <w:szCs w:val="24"/>
              </w:rPr>
            </w:pPr>
            <w:r w:rsidRPr="00492DA0">
              <w:rPr>
                <w:rFonts w:ascii="Arial" w:hAnsi="Arial" w:cs="Arial"/>
                <w:sz w:val="24"/>
                <w:szCs w:val="24"/>
              </w:rPr>
              <w:t>More information required at candidate site stage of LDP</w:t>
            </w:r>
            <w:r w:rsidR="004D2488">
              <w:rPr>
                <w:rFonts w:ascii="Arial" w:hAnsi="Arial" w:cs="Arial"/>
                <w:sz w:val="24"/>
                <w:szCs w:val="24"/>
              </w:rPr>
              <w:t xml:space="preserve"> regarding</w:t>
            </w:r>
            <w:r w:rsidRPr="00492DA0">
              <w:rPr>
                <w:rFonts w:ascii="Arial" w:hAnsi="Arial" w:cs="Arial"/>
                <w:sz w:val="24"/>
                <w:szCs w:val="24"/>
              </w:rPr>
              <w:t xml:space="preserve"> viability and not just deliverability. </w:t>
            </w:r>
          </w:p>
          <w:p w:rsidR="00CE73C4" w:rsidRPr="00492DA0" w:rsidRDefault="00CE73C4" w:rsidP="00CE73C4">
            <w:pPr>
              <w:pStyle w:val="ListParagraph"/>
              <w:numPr>
                <w:ilvl w:val="0"/>
                <w:numId w:val="21"/>
              </w:numPr>
              <w:spacing w:after="240" w:line="259" w:lineRule="auto"/>
              <w:ind w:hanging="720"/>
              <w:contextualSpacing w:val="0"/>
              <w:rPr>
                <w:rFonts w:ascii="Arial" w:hAnsi="Arial" w:cs="Arial"/>
                <w:sz w:val="24"/>
                <w:szCs w:val="24"/>
              </w:rPr>
            </w:pPr>
            <w:r w:rsidRPr="00492DA0">
              <w:rPr>
                <w:rFonts w:ascii="Arial" w:hAnsi="Arial" w:cs="Arial"/>
                <w:sz w:val="24"/>
                <w:szCs w:val="24"/>
              </w:rPr>
              <w:t xml:space="preserve">Better understanding by Planning Officers of the economic drivers – better training / share of best practice – closer working with house building industry. </w:t>
            </w:r>
          </w:p>
          <w:p w:rsidR="001F152B" w:rsidRPr="00CE73C4" w:rsidRDefault="00CE73C4" w:rsidP="001F152B">
            <w:pPr>
              <w:pStyle w:val="ListParagraph"/>
              <w:numPr>
                <w:ilvl w:val="0"/>
                <w:numId w:val="21"/>
              </w:numPr>
              <w:spacing w:after="240" w:line="259" w:lineRule="auto"/>
              <w:ind w:hanging="720"/>
              <w:contextualSpacing w:val="0"/>
              <w:rPr>
                <w:rFonts w:ascii="Arial" w:hAnsi="Arial" w:cs="Arial"/>
                <w:sz w:val="24"/>
                <w:szCs w:val="24"/>
              </w:rPr>
            </w:pPr>
            <w:r w:rsidRPr="00492DA0">
              <w:rPr>
                <w:rFonts w:ascii="Arial" w:hAnsi="Arial" w:cs="Arial"/>
                <w:sz w:val="24"/>
                <w:szCs w:val="24"/>
              </w:rPr>
              <w:t>Clear identification of land ownership issues in submissions i.e. how many owners, possibly seek some form of agreement in principle f</w:t>
            </w:r>
            <w:r>
              <w:rPr>
                <w:rFonts w:ascii="Arial" w:hAnsi="Arial" w:cs="Arial"/>
                <w:sz w:val="24"/>
                <w:szCs w:val="24"/>
              </w:rPr>
              <w:t>r</w:t>
            </w:r>
            <w:r w:rsidRPr="00492DA0">
              <w:rPr>
                <w:rFonts w:ascii="Arial" w:hAnsi="Arial" w:cs="Arial"/>
                <w:sz w:val="24"/>
                <w:szCs w:val="24"/>
              </w:rPr>
              <w:t>om all owners before a site is allocated.</w:t>
            </w:r>
          </w:p>
          <w:p w:rsidR="00360A33" w:rsidRDefault="00360A33" w:rsidP="001F152B">
            <w:pPr>
              <w:rPr>
                <w:highlight w:val="yellow"/>
              </w:rPr>
            </w:pPr>
          </w:p>
          <w:p w:rsidR="00360A33" w:rsidRPr="001F152B" w:rsidRDefault="00360A33" w:rsidP="001F152B">
            <w:pPr>
              <w:rPr>
                <w:highlight w:val="yellow"/>
              </w:rPr>
            </w:pPr>
          </w:p>
        </w:tc>
      </w:tr>
    </w:tbl>
    <w:p w:rsidR="001F152B" w:rsidRPr="001F152B" w:rsidRDefault="001F152B" w:rsidP="001F152B">
      <w:pPr>
        <w:rPr>
          <w:highlight w:val="yellow"/>
        </w:rPr>
      </w:pPr>
    </w:p>
    <w:p w:rsidR="002A6261" w:rsidRPr="002A6261" w:rsidRDefault="002A6261" w:rsidP="002A6261">
      <w:pPr>
        <w:rPr>
          <w:b/>
        </w:rPr>
      </w:pPr>
      <w:r w:rsidRPr="002A6261">
        <w:rPr>
          <w:b/>
        </w:rPr>
        <w:t>Monitoring development plans and housing land supply</w:t>
      </w:r>
    </w:p>
    <w:p w:rsidR="002A6261" w:rsidRPr="002A6261" w:rsidRDefault="002A6261" w:rsidP="002A626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2A6261" w:rsidRPr="002A6261" w:rsidTr="00E92AE9">
        <w:tc>
          <w:tcPr>
            <w:tcW w:w="1384" w:type="dxa"/>
            <w:shd w:val="clear" w:color="auto" w:fill="7030A0"/>
          </w:tcPr>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r w:rsidRPr="002A6261">
              <w:rPr>
                <w:b/>
                <w:color w:val="FFFFFF" w:themeColor="background1"/>
              </w:rPr>
              <w:t>Q</w:t>
            </w:r>
            <w:r>
              <w:rPr>
                <w:b/>
                <w:color w:val="FFFFFF" w:themeColor="background1"/>
              </w:rPr>
              <w:t>4</w:t>
            </w:r>
          </w:p>
        </w:tc>
        <w:tc>
          <w:tcPr>
            <w:tcW w:w="7858" w:type="dxa"/>
            <w:shd w:val="clear" w:color="auto" w:fill="B2A1C7" w:themeFill="accent4" w:themeFillTint="99"/>
          </w:tcPr>
          <w:p w:rsidR="002A6261" w:rsidRPr="002A6261" w:rsidRDefault="002A6261" w:rsidP="002A6261"/>
          <w:p w:rsidR="002A6261" w:rsidRPr="002A6261" w:rsidRDefault="002A6261" w:rsidP="002A6261">
            <w:pPr>
              <w:spacing w:line="360" w:lineRule="auto"/>
            </w:pPr>
            <w:r w:rsidRPr="002A6261">
              <w:t>How should housing land supply be monitored in relation to delivering the housing requirement set out in an adopted development plan?</w:t>
            </w:r>
          </w:p>
        </w:tc>
      </w:tr>
      <w:tr w:rsidR="002A6261" w:rsidRPr="002A6261" w:rsidTr="00E92AE9">
        <w:tc>
          <w:tcPr>
            <w:tcW w:w="9242" w:type="dxa"/>
            <w:gridSpan w:val="2"/>
          </w:tcPr>
          <w:p w:rsidR="002A6261" w:rsidRPr="002A6261" w:rsidRDefault="002A6261" w:rsidP="002A6261">
            <w:pPr>
              <w:rPr>
                <w:b/>
              </w:rPr>
            </w:pPr>
          </w:p>
        </w:tc>
      </w:tr>
      <w:tr w:rsidR="002A6261" w:rsidRPr="002A6261" w:rsidTr="00E92AE9">
        <w:tc>
          <w:tcPr>
            <w:tcW w:w="9242" w:type="dxa"/>
            <w:gridSpan w:val="2"/>
            <w:shd w:val="clear" w:color="auto" w:fill="B2A1C7" w:themeFill="accent4" w:themeFillTint="99"/>
          </w:tcPr>
          <w:p w:rsidR="002A6261" w:rsidRPr="002A6261" w:rsidRDefault="002A6261" w:rsidP="002A6261">
            <w:pPr>
              <w:rPr>
                <w:b/>
              </w:rPr>
            </w:pPr>
            <w:r w:rsidRPr="002A6261">
              <w:rPr>
                <w:b/>
              </w:rPr>
              <w:t>Comments</w:t>
            </w:r>
          </w:p>
        </w:tc>
      </w:tr>
      <w:tr w:rsidR="002A6261" w:rsidRPr="002A6261" w:rsidTr="00E92AE9">
        <w:tc>
          <w:tcPr>
            <w:tcW w:w="9242" w:type="dxa"/>
            <w:gridSpan w:val="2"/>
          </w:tcPr>
          <w:p w:rsidR="002A6261" w:rsidRPr="002A6261" w:rsidRDefault="002A6261" w:rsidP="002A6261">
            <w:pPr>
              <w:rPr>
                <w:highlight w:val="yellow"/>
              </w:rPr>
            </w:pPr>
          </w:p>
          <w:p w:rsidR="00652AEE" w:rsidRPr="00857C47" w:rsidRDefault="00652AEE" w:rsidP="00652AEE">
            <w:pPr>
              <w:pStyle w:val="ListParagraph"/>
              <w:numPr>
                <w:ilvl w:val="0"/>
                <w:numId w:val="22"/>
              </w:numPr>
              <w:spacing w:after="240" w:line="259" w:lineRule="auto"/>
              <w:ind w:hanging="720"/>
              <w:contextualSpacing w:val="0"/>
              <w:rPr>
                <w:rFonts w:ascii="Arial" w:hAnsi="Arial" w:cs="Arial"/>
                <w:sz w:val="24"/>
                <w:szCs w:val="24"/>
              </w:rPr>
            </w:pPr>
            <w:r w:rsidRPr="00492DA0">
              <w:rPr>
                <w:rFonts w:ascii="Arial" w:hAnsi="Arial" w:cs="Arial"/>
                <w:sz w:val="24"/>
                <w:szCs w:val="24"/>
              </w:rPr>
              <w:t>Better links between LPA Policy Teams and Development Management teams – they often work in isolation.</w:t>
            </w:r>
          </w:p>
          <w:p w:rsidR="00652AEE" w:rsidRDefault="00652AEE" w:rsidP="00652AEE">
            <w:pPr>
              <w:pStyle w:val="ListParagraph"/>
              <w:numPr>
                <w:ilvl w:val="0"/>
                <w:numId w:val="22"/>
              </w:numPr>
              <w:spacing w:after="240" w:line="259" w:lineRule="auto"/>
              <w:ind w:hanging="720"/>
              <w:contextualSpacing w:val="0"/>
              <w:rPr>
                <w:rFonts w:ascii="Arial" w:hAnsi="Arial" w:cs="Arial"/>
                <w:sz w:val="24"/>
                <w:szCs w:val="24"/>
              </w:rPr>
            </w:pPr>
            <w:r w:rsidRPr="00492DA0">
              <w:rPr>
                <w:rFonts w:ascii="Arial" w:hAnsi="Arial" w:cs="Arial"/>
                <w:sz w:val="24"/>
                <w:szCs w:val="24"/>
              </w:rPr>
              <w:t xml:space="preserve">Engagement with </w:t>
            </w:r>
            <w:r>
              <w:rPr>
                <w:rFonts w:ascii="Arial" w:hAnsi="Arial" w:cs="Arial"/>
                <w:sz w:val="24"/>
                <w:szCs w:val="24"/>
              </w:rPr>
              <w:t>Community and T</w:t>
            </w:r>
            <w:r w:rsidRPr="00492DA0">
              <w:rPr>
                <w:rFonts w:ascii="Arial" w:hAnsi="Arial" w:cs="Arial"/>
                <w:sz w:val="24"/>
                <w:szCs w:val="24"/>
              </w:rPr>
              <w:t xml:space="preserve">own </w:t>
            </w:r>
            <w:r>
              <w:rPr>
                <w:rFonts w:ascii="Arial" w:hAnsi="Arial" w:cs="Arial"/>
                <w:sz w:val="24"/>
                <w:szCs w:val="24"/>
              </w:rPr>
              <w:t>C</w:t>
            </w:r>
            <w:r w:rsidRPr="00492DA0">
              <w:rPr>
                <w:rFonts w:ascii="Arial" w:hAnsi="Arial" w:cs="Arial"/>
                <w:sz w:val="24"/>
                <w:szCs w:val="24"/>
              </w:rPr>
              <w:t>ouncils – monitoring what is happening on the ground.</w:t>
            </w:r>
            <w:r w:rsidR="004D2488">
              <w:rPr>
                <w:rFonts w:ascii="Arial" w:hAnsi="Arial" w:cs="Arial"/>
                <w:sz w:val="24"/>
                <w:szCs w:val="24"/>
              </w:rPr>
              <w:t xml:space="preserve">  More powers / training to CTC</w:t>
            </w:r>
            <w:r w:rsidRPr="00492DA0">
              <w:rPr>
                <w:rFonts w:ascii="Arial" w:hAnsi="Arial" w:cs="Arial"/>
                <w:sz w:val="24"/>
                <w:szCs w:val="24"/>
              </w:rPr>
              <w:t>s to undertake monit</w:t>
            </w:r>
            <w:r>
              <w:rPr>
                <w:rFonts w:ascii="Arial" w:hAnsi="Arial" w:cs="Arial"/>
                <w:sz w:val="24"/>
                <w:szCs w:val="24"/>
              </w:rPr>
              <w:t xml:space="preserve">oring. </w:t>
            </w:r>
          </w:p>
          <w:p w:rsidR="00652AEE" w:rsidRPr="00857C47" w:rsidRDefault="00652AEE" w:rsidP="00652AEE">
            <w:pPr>
              <w:pStyle w:val="ListParagraph"/>
              <w:numPr>
                <w:ilvl w:val="0"/>
                <w:numId w:val="22"/>
              </w:numPr>
              <w:spacing w:after="240" w:line="259" w:lineRule="auto"/>
              <w:ind w:hanging="720"/>
              <w:contextualSpacing w:val="0"/>
              <w:rPr>
                <w:rFonts w:ascii="Arial" w:hAnsi="Arial" w:cs="Arial"/>
                <w:sz w:val="24"/>
                <w:szCs w:val="24"/>
              </w:rPr>
            </w:pPr>
            <w:r w:rsidRPr="00857C47">
              <w:rPr>
                <w:rFonts w:ascii="Arial" w:hAnsi="Arial" w:cs="Arial"/>
                <w:sz w:val="24"/>
                <w:szCs w:val="24"/>
              </w:rPr>
              <w:t>Annual monitoring reports to inc</w:t>
            </w:r>
            <w:r>
              <w:rPr>
                <w:rFonts w:ascii="Arial" w:hAnsi="Arial" w:cs="Arial"/>
                <w:sz w:val="24"/>
                <w:szCs w:val="24"/>
              </w:rPr>
              <w:t xml:space="preserve">lude breakdown of housing types as well as completions. </w:t>
            </w:r>
          </w:p>
          <w:p w:rsidR="00652AEE" w:rsidRDefault="00652AEE" w:rsidP="00652AEE">
            <w:pPr>
              <w:pStyle w:val="ListParagraph"/>
              <w:numPr>
                <w:ilvl w:val="0"/>
                <w:numId w:val="22"/>
              </w:numPr>
              <w:spacing w:after="240" w:line="259" w:lineRule="auto"/>
              <w:ind w:hanging="720"/>
              <w:contextualSpacing w:val="0"/>
              <w:rPr>
                <w:rFonts w:ascii="Arial" w:hAnsi="Arial" w:cs="Arial"/>
                <w:sz w:val="24"/>
                <w:szCs w:val="24"/>
              </w:rPr>
            </w:pPr>
            <w:r>
              <w:rPr>
                <w:rFonts w:ascii="Arial" w:hAnsi="Arial" w:cs="Arial"/>
                <w:sz w:val="24"/>
                <w:szCs w:val="24"/>
              </w:rPr>
              <w:t>Include</w:t>
            </w:r>
            <w:r w:rsidRPr="00492DA0">
              <w:rPr>
                <w:rFonts w:ascii="Arial" w:hAnsi="Arial" w:cs="Arial"/>
                <w:sz w:val="24"/>
                <w:szCs w:val="24"/>
              </w:rPr>
              <w:t xml:space="preserve"> a </w:t>
            </w:r>
            <w:r>
              <w:rPr>
                <w:rFonts w:ascii="Arial" w:hAnsi="Arial" w:cs="Arial"/>
                <w:sz w:val="24"/>
                <w:szCs w:val="24"/>
              </w:rPr>
              <w:t>‘</w:t>
            </w:r>
            <w:r w:rsidRPr="00492DA0">
              <w:rPr>
                <w:rFonts w:ascii="Arial" w:hAnsi="Arial" w:cs="Arial"/>
                <w:sz w:val="24"/>
                <w:szCs w:val="24"/>
              </w:rPr>
              <w:t>buffer</w:t>
            </w:r>
            <w:r>
              <w:rPr>
                <w:rFonts w:ascii="Arial" w:hAnsi="Arial" w:cs="Arial"/>
                <w:sz w:val="24"/>
                <w:szCs w:val="24"/>
              </w:rPr>
              <w:t>’</w:t>
            </w:r>
            <w:r w:rsidRPr="00492DA0">
              <w:rPr>
                <w:rFonts w:ascii="Arial" w:hAnsi="Arial" w:cs="Arial"/>
                <w:sz w:val="24"/>
                <w:szCs w:val="24"/>
              </w:rPr>
              <w:t xml:space="preserve"> of additional sites to cover shortfall</w:t>
            </w:r>
            <w:r w:rsidR="00703132">
              <w:rPr>
                <w:rFonts w:ascii="Arial" w:hAnsi="Arial" w:cs="Arial"/>
                <w:sz w:val="24"/>
                <w:szCs w:val="24"/>
              </w:rPr>
              <w:t>s</w:t>
            </w:r>
            <w:r>
              <w:rPr>
                <w:rFonts w:ascii="Arial" w:hAnsi="Arial" w:cs="Arial"/>
                <w:sz w:val="24"/>
                <w:szCs w:val="24"/>
              </w:rPr>
              <w:t>.</w:t>
            </w:r>
          </w:p>
          <w:p w:rsidR="00652AEE" w:rsidRDefault="00652AEE" w:rsidP="00652AEE">
            <w:pPr>
              <w:pStyle w:val="ListParagraph"/>
              <w:numPr>
                <w:ilvl w:val="0"/>
                <w:numId w:val="22"/>
              </w:numPr>
              <w:spacing w:after="240" w:line="259" w:lineRule="auto"/>
              <w:ind w:hanging="720"/>
              <w:contextualSpacing w:val="0"/>
              <w:rPr>
                <w:rFonts w:ascii="Arial" w:hAnsi="Arial" w:cs="Arial"/>
                <w:sz w:val="24"/>
                <w:szCs w:val="24"/>
              </w:rPr>
            </w:pPr>
            <w:r>
              <w:rPr>
                <w:rFonts w:ascii="Arial" w:hAnsi="Arial" w:cs="Arial"/>
                <w:sz w:val="24"/>
                <w:szCs w:val="24"/>
              </w:rPr>
              <w:t>Introduce a t</w:t>
            </w:r>
            <w:r w:rsidRPr="009158B8">
              <w:rPr>
                <w:rFonts w:ascii="Arial" w:hAnsi="Arial" w:cs="Arial"/>
                <w:sz w:val="24"/>
                <w:szCs w:val="24"/>
              </w:rPr>
              <w:t>ime limit on identified sites so that if not developed in a certain period they could be replaced by an alternative site</w:t>
            </w:r>
            <w:r w:rsidR="00703132">
              <w:rPr>
                <w:rFonts w:ascii="Arial" w:hAnsi="Arial" w:cs="Arial"/>
                <w:sz w:val="24"/>
                <w:szCs w:val="24"/>
              </w:rPr>
              <w:t>.</w:t>
            </w:r>
          </w:p>
          <w:p w:rsidR="00360A33" w:rsidRPr="00703132" w:rsidRDefault="00652AEE" w:rsidP="00703132">
            <w:pPr>
              <w:pStyle w:val="ListParagraph"/>
              <w:numPr>
                <w:ilvl w:val="0"/>
                <w:numId w:val="22"/>
              </w:numPr>
              <w:spacing w:after="240" w:line="259" w:lineRule="auto"/>
              <w:ind w:hanging="720"/>
              <w:contextualSpacing w:val="0"/>
              <w:rPr>
                <w:rFonts w:ascii="Arial" w:hAnsi="Arial" w:cs="Arial"/>
                <w:sz w:val="24"/>
                <w:szCs w:val="24"/>
              </w:rPr>
            </w:pPr>
            <w:r w:rsidRPr="009158B8">
              <w:rPr>
                <w:rFonts w:ascii="Arial" w:hAnsi="Arial" w:cs="Arial"/>
                <w:sz w:val="24"/>
                <w:szCs w:val="24"/>
              </w:rPr>
              <w:t xml:space="preserve">The above </w:t>
            </w:r>
            <w:r>
              <w:rPr>
                <w:rFonts w:ascii="Arial" w:hAnsi="Arial" w:cs="Arial"/>
                <w:sz w:val="24"/>
                <w:szCs w:val="24"/>
              </w:rPr>
              <w:t xml:space="preserve">should </w:t>
            </w:r>
            <w:r w:rsidRPr="009158B8">
              <w:rPr>
                <w:rFonts w:ascii="Arial" w:hAnsi="Arial" w:cs="Arial"/>
                <w:sz w:val="24"/>
                <w:szCs w:val="24"/>
              </w:rPr>
              <w:t>provide</w:t>
            </w:r>
            <w:r>
              <w:rPr>
                <w:rFonts w:ascii="Arial" w:hAnsi="Arial" w:cs="Arial"/>
                <w:sz w:val="24"/>
                <w:szCs w:val="24"/>
              </w:rPr>
              <w:t xml:space="preserve"> greater</w:t>
            </w:r>
            <w:r w:rsidRPr="009158B8">
              <w:rPr>
                <w:rFonts w:ascii="Arial" w:hAnsi="Arial" w:cs="Arial"/>
                <w:sz w:val="24"/>
                <w:szCs w:val="24"/>
              </w:rPr>
              <w:t xml:space="preserve"> certaint</w:t>
            </w:r>
            <w:r>
              <w:rPr>
                <w:rFonts w:ascii="Arial" w:hAnsi="Arial" w:cs="Arial"/>
                <w:sz w:val="24"/>
                <w:szCs w:val="24"/>
              </w:rPr>
              <w:t>y for the</w:t>
            </w:r>
            <w:r w:rsidRPr="009158B8">
              <w:rPr>
                <w:rFonts w:ascii="Arial" w:hAnsi="Arial" w:cs="Arial"/>
                <w:sz w:val="24"/>
                <w:szCs w:val="24"/>
              </w:rPr>
              <w:t xml:space="preserve"> communities </w:t>
            </w:r>
            <w:r>
              <w:rPr>
                <w:rFonts w:ascii="Arial" w:hAnsi="Arial" w:cs="Arial"/>
                <w:sz w:val="24"/>
                <w:szCs w:val="24"/>
              </w:rPr>
              <w:t xml:space="preserve">living near to potential </w:t>
            </w:r>
            <w:r w:rsidRPr="009158B8">
              <w:rPr>
                <w:rFonts w:ascii="Arial" w:hAnsi="Arial" w:cs="Arial"/>
                <w:sz w:val="24"/>
                <w:szCs w:val="24"/>
              </w:rPr>
              <w:t xml:space="preserve">development </w:t>
            </w:r>
            <w:r>
              <w:rPr>
                <w:rFonts w:ascii="Arial" w:hAnsi="Arial" w:cs="Arial"/>
                <w:sz w:val="24"/>
                <w:szCs w:val="24"/>
              </w:rPr>
              <w:t>sites</w:t>
            </w:r>
            <w:r w:rsidRPr="009158B8">
              <w:rPr>
                <w:rFonts w:ascii="Arial" w:hAnsi="Arial" w:cs="Arial"/>
                <w:sz w:val="24"/>
                <w:szCs w:val="24"/>
              </w:rPr>
              <w:t>.</w:t>
            </w:r>
          </w:p>
        </w:tc>
      </w:tr>
    </w:tbl>
    <w:p w:rsidR="002A6261" w:rsidRPr="002A6261" w:rsidRDefault="002A6261" w:rsidP="002A6261">
      <w:pPr>
        <w:rPr>
          <w:highlight w:val="yellow"/>
        </w:rPr>
      </w:pPr>
    </w:p>
    <w:p w:rsidR="002A6261" w:rsidRPr="002A6261" w:rsidRDefault="002A6261" w:rsidP="002A626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2A6261" w:rsidRPr="002A6261" w:rsidTr="00E92AE9">
        <w:tc>
          <w:tcPr>
            <w:tcW w:w="1384" w:type="dxa"/>
            <w:shd w:val="clear" w:color="auto" w:fill="7030A0"/>
          </w:tcPr>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r w:rsidRPr="002A6261">
              <w:rPr>
                <w:b/>
                <w:color w:val="FFFFFF" w:themeColor="background1"/>
              </w:rPr>
              <w:t>Q</w:t>
            </w:r>
            <w:r>
              <w:rPr>
                <w:b/>
                <w:color w:val="FFFFFF" w:themeColor="background1"/>
              </w:rPr>
              <w:t>5</w:t>
            </w:r>
          </w:p>
        </w:tc>
        <w:tc>
          <w:tcPr>
            <w:tcW w:w="7858" w:type="dxa"/>
            <w:shd w:val="clear" w:color="auto" w:fill="B2A1C7" w:themeFill="accent4" w:themeFillTint="99"/>
          </w:tcPr>
          <w:p w:rsidR="002A6261" w:rsidRPr="002A6261" w:rsidRDefault="002A6261" w:rsidP="002A6261"/>
          <w:p w:rsidR="002A6261" w:rsidRPr="002A6261" w:rsidRDefault="002A6261" w:rsidP="004A6E71">
            <w:pPr>
              <w:spacing w:line="360" w:lineRule="auto"/>
            </w:pPr>
            <w:r w:rsidRPr="002A6261">
              <w:t>What action should follow if a planning authority does not have an up-to-date development plan and/or a housing land supply?</w:t>
            </w:r>
          </w:p>
        </w:tc>
      </w:tr>
      <w:tr w:rsidR="002A6261" w:rsidRPr="002A6261" w:rsidTr="00E92AE9">
        <w:tc>
          <w:tcPr>
            <w:tcW w:w="9242" w:type="dxa"/>
            <w:gridSpan w:val="2"/>
          </w:tcPr>
          <w:p w:rsidR="002A6261" w:rsidRPr="002A6261" w:rsidRDefault="002A6261" w:rsidP="002A6261">
            <w:pPr>
              <w:rPr>
                <w:b/>
              </w:rPr>
            </w:pPr>
          </w:p>
        </w:tc>
      </w:tr>
      <w:tr w:rsidR="002A6261" w:rsidRPr="002A6261" w:rsidTr="00E92AE9">
        <w:tc>
          <w:tcPr>
            <w:tcW w:w="9242" w:type="dxa"/>
            <w:gridSpan w:val="2"/>
            <w:shd w:val="clear" w:color="auto" w:fill="B2A1C7" w:themeFill="accent4" w:themeFillTint="99"/>
          </w:tcPr>
          <w:p w:rsidR="002A6261" w:rsidRPr="002A6261" w:rsidRDefault="002A6261" w:rsidP="002A6261">
            <w:pPr>
              <w:rPr>
                <w:b/>
              </w:rPr>
            </w:pPr>
            <w:r w:rsidRPr="002A6261">
              <w:rPr>
                <w:b/>
              </w:rPr>
              <w:t>Comments</w:t>
            </w:r>
          </w:p>
        </w:tc>
      </w:tr>
      <w:tr w:rsidR="002A6261" w:rsidRPr="002A6261" w:rsidTr="00E92AE9">
        <w:tc>
          <w:tcPr>
            <w:tcW w:w="9242" w:type="dxa"/>
            <w:gridSpan w:val="2"/>
          </w:tcPr>
          <w:p w:rsidR="002A6261" w:rsidRPr="002A6261" w:rsidRDefault="002A6261" w:rsidP="002A6261">
            <w:pPr>
              <w:rPr>
                <w:highlight w:val="yellow"/>
              </w:rPr>
            </w:pPr>
          </w:p>
          <w:p w:rsidR="00703132" w:rsidRPr="009158B8" w:rsidRDefault="00703132" w:rsidP="00703132">
            <w:pPr>
              <w:pStyle w:val="ListParagraph"/>
              <w:numPr>
                <w:ilvl w:val="0"/>
                <w:numId w:val="23"/>
              </w:numPr>
              <w:spacing w:after="240" w:line="259" w:lineRule="auto"/>
              <w:ind w:hanging="720"/>
              <w:contextualSpacing w:val="0"/>
              <w:rPr>
                <w:rFonts w:ascii="Arial" w:hAnsi="Arial" w:cs="Arial"/>
                <w:sz w:val="24"/>
                <w:szCs w:val="24"/>
              </w:rPr>
            </w:pPr>
            <w:r>
              <w:rPr>
                <w:rFonts w:ascii="Arial" w:hAnsi="Arial" w:cs="Arial"/>
                <w:sz w:val="24"/>
                <w:szCs w:val="24"/>
              </w:rPr>
              <w:t xml:space="preserve">Any action should recognise the fact that LPA budgets for Planning have  halved over the last 8 years and that strategic planning capacity has suffered as a result.  </w:t>
            </w:r>
            <w:r w:rsidRPr="009158B8">
              <w:rPr>
                <w:rFonts w:ascii="Arial" w:hAnsi="Arial" w:cs="Arial"/>
                <w:sz w:val="24"/>
                <w:szCs w:val="24"/>
              </w:rPr>
              <w:t>A system of putting the LPA into “Special Measures” such as</w:t>
            </w:r>
            <w:r w:rsidR="00473887">
              <w:rPr>
                <w:rFonts w:ascii="Arial" w:hAnsi="Arial" w:cs="Arial"/>
                <w:sz w:val="24"/>
                <w:szCs w:val="24"/>
              </w:rPr>
              <w:t xml:space="preserve"> in</w:t>
            </w:r>
            <w:r w:rsidRPr="009158B8">
              <w:rPr>
                <w:rFonts w:ascii="Arial" w:hAnsi="Arial" w:cs="Arial"/>
                <w:sz w:val="24"/>
                <w:szCs w:val="24"/>
              </w:rPr>
              <w:t xml:space="preserve"> the education</w:t>
            </w:r>
            <w:r w:rsidR="00473887">
              <w:rPr>
                <w:rFonts w:ascii="Arial" w:hAnsi="Arial" w:cs="Arial"/>
                <w:sz w:val="24"/>
                <w:szCs w:val="24"/>
              </w:rPr>
              <w:t xml:space="preserve"> / health</w:t>
            </w:r>
            <w:r w:rsidRPr="009158B8">
              <w:rPr>
                <w:rFonts w:ascii="Arial" w:hAnsi="Arial" w:cs="Arial"/>
                <w:sz w:val="24"/>
                <w:szCs w:val="24"/>
              </w:rPr>
              <w:t xml:space="preserve"> system – a </w:t>
            </w:r>
            <w:r w:rsidR="00473887">
              <w:rPr>
                <w:rFonts w:ascii="Arial" w:hAnsi="Arial" w:cs="Arial"/>
                <w:sz w:val="24"/>
                <w:szCs w:val="24"/>
              </w:rPr>
              <w:t>‘</w:t>
            </w:r>
            <w:r w:rsidRPr="009158B8">
              <w:rPr>
                <w:rFonts w:ascii="Arial" w:hAnsi="Arial" w:cs="Arial"/>
                <w:sz w:val="24"/>
                <w:szCs w:val="24"/>
              </w:rPr>
              <w:t xml:space="preserve">call </w:t>
            </w:r>
            <w:r w:rsidR="00473887">
              <w:rPr>
                <w:rFonts w:ascii="Arial" w:hAnsi="Arial" w:cs="Arial"/>
                <w:sz w:val="24"/>
                <w:szCs w:val="24"/>
              </w:rPr>
              <w:t>i</w:t>
            </w:r>
            <w:r w:rsidRPr="009158B8">
              <w:rPr>
                <w:rFonts w:ascii="Arial" w:hAnsi="Arial" w:cs="Arial"/>
                <w:sz w:val="24"/>
                <w:szCs w:val="24"/>
              </w:rPr>
              <w:t>n</w:t>
            </w:r>
            <w:r w:rsidR="00473887">
              <w:rPr>
                <w:rFonts w:ascii="Arial" w:hAnsi="Arial" w:cs="Arial"/>
                <w:sz w:val="24"/>
                <w:szCs w:val="24"/>
              </w:rPr>
              <w:t>’</w:t>
            </w:r>
            <w:r w:rsidRPr="009158B8">
              <w:rPr>
                <w:rFonts w:ascii="Arial" w:hAnsi="Arial" w:cs="Arial"/>
                <w:sz w:val="24"/>
                <w:szCs w:val="24"/>
              </w:rPr>
              <w:t xml:space="preserve"> by Welsh Government and an action plan drawn up </w:t>
            </w:r>
            <w:r>
              <w:rPr>
                <w:rFonts w:ascii="Arial" w:hAnsi="Arial" w:cs="Arial"/>
                <w:sz w:val="24"/>
                <w:szCs w:val="24"/>
              </w:rPr>
              <w:t xml:space="preserve">could help </w:t>
            </w:r>
            <w:r w:rsidRPr="009158B8">
              <w:rPr>
                <w:rFonts w:ascii="Arial" w:hAnsi="Arial" w:cs="Arial"/>
                <w:sz w:val="24"/>
                <w:szCs w:val="24"/>
              </w:rPr>
              <w:t>to ensure delivery</w:t>
            </w:r>
            <w:r w:rsidR="00473887">
              <w:rPr>
                <w:rFonts w:ascii="Arial" w:hAnsi="Arial" w:cs="Arial"/>
                <w:sz w:val="24"/>
                <w:szCs w:val="24"/>
              </w:rPr>
              <w:t xml:space="preserve"> is supported</w:t>
            </w:r>
            <w:r w:rsidRPr="009158B8">
              <w:rPr>
                <w:rFonts w:ascii="Arial" w:hAnsi="Arial" w:cs="Arial"/>
                <w:sz w:val="24"/>
                <w:szCs w:val="24"/>
              </w:rPr>
              <w:t xml:space="preserve">.  </w:t>
            </w:r>
            <w:r>
              <w:rPr>
                <w:rFonts w:ascii="Arial" w:hAnsi="Arial" w:cs="Arial"/>
                <w:sz w:val="24"/>
                <w:szCs w:val="24"/>
              </w:rPr>
              <w:t xml:space="preserve">In any case, </w:t>
            </w:r>
            <w:r w:rsidRPr="009158B8">
              <w:rPr>
                <w:rFonts w:ascii="Arial" w:hAnsi="Arial" w:cs="Arial"/>
                <w:sz w:val="24"/>
                <w:szCs w:val="24"/>
              </w:rPr>
              <w:t>LPA</w:t>
            </w:r>
            <w:r>
              <w:rPr>
                <w:rFonts w:ascii="Arial" w:hAnsi="Arial" w:cs="Arial"/>
                <w:sz w:val="24"/>
                <w:szCs w:val="24"/>
              </w:rPr>
              <w:t>s should be encouraged</w:t>
            </w:r>
            <w:r w:rsidRPr="009158B8">
              <w:rPr>
                <w:rFonts w:ascii="Arial" w:hAnsi="Arial" w:cs="Arial"/>
                <w:sz w:val="24"/>
                <w:szCs w:val="24"/>
              </w:rPr>
              <w:t xml:space="preserve"> to work with other authorities to assist them to produce the plan </w:t>
            </w:r>
            <w:r>
              <w:rPr>
                <w:rFonts w:ascii="Arial" w:hAnsi="Arial" w:cs="Arial"/>
                <w:sz w:val="24"/>
                <w:szCs w:val="24"/>
              </w:rPr>
              <w:t>by</w:t>
            </w:r>
            <w:r w:rsidRPr="009158B8">
              <w:rPr>
                <w:rFonts w:ascii="Arial" w:hAnsi="Arial" w:cs="Arial"/>
                <w:sz w:val="24"/>
                <w:szCs w:val="24"/>
              </w:rPr>
              <w:t xml:space="preserve"> sharing Planning Officer skills across LPAs.</w:t>
            </w:r>
          </w:p>
          <w:p w:rsidR="00360A33" w:rsidRPr="00703132" w:rsidRDefault="00703132" w:rsidP="00703132">
            <w:pPr>
              <w:pStyle w:val="ListParagraph"/>
              <w:numPr>
                <w:ilvl w:val="0"/>
                <w:numId w:val="23"/>
              </w:numPr>
              <w:spacing w:after="240" w:line="259" w:lineRule="auto"/>
              <w:ind w:hanging="720"/>
              <w:contextualSpacing w:val="0"/>
              <w:rPr>
                <w:rFonts w:ascii="Arial" w:hAnsi="Arial" w:cs="Arial"/>
                <w:sz w:val="24"/>
                <w:szCs w:val="24"/>
              </w:rPr>
            </w:pPr>
            <w:r w:rsidRPr="009158B8">
              <w:rPr>
                <w:rFonts w:ascii="Arial" w:hAnsi="Arial" w:cs="Arial"/>
                <w:sz w:val="24"/>
                <w:szCs w:val="24"/>
              </w:rPr>
              <w:t>Community</w:t>
            </w:r>
            <w:r>
              <w:rPr>
                <w:rFonts w:ascii="Arial" w:hAnsi="Arial" w:cs="Arial"/>
                <w:sz w:val="24"/>
                <w:szCs w:val="24"/>
              </w:rPr>
              <w:t>-</w:t>
            </w:r>
            <w:r w:rsidRPr="009158B8">
              <w:rPr>
                <w:rFonts w:ascii="Arial" w:hAnsi="Arial" w:cs="Arial"/>
                <w:sz w:val="24"/>
                <w:szCs w:val="24"/>
              </w:rPr>
              <w:t>led housing given greater weight i.e</w:t>
            </w:r>
            <w:r>
              <w:rPr>
                <w:rFonts w:ascii="Arial" w:hAnsi="Arial" w:cs="Arial"/>
                <w:sz w:val="24"/>
                <w:szCs w:val="24"/>
              </w:rPr>
              <w:t>.</w:t>
            </w:r>
            <w:r w:rsidRPr="009158B8">
              <w:rPr>
                <w:rFonts w:ascii="Arial" w:hAnsi="Arial" w:cs="Arial"/>
                <w:sz w:val="24"/>
                <w:szCs w:val="24"/>
              </w:rPr>
              <w:t xml:space="preserve"> if a community support</w:t>
            </w:r>
            <w:r>
              <w:rPr>
                <w:rFonts w:ascii="Arial" w:hAnsi="Arial" w:cs="Arial"/>
                <w:sz w:val="24"/>
                <w:szCs w:val="24"/>
              </w:rPr>
              <w:t xml:space="preserve">s </w:t>
            </w:r>
            <w:r w:rsidRPr="009158B8">
              <w:rPr>
                <w:rFonts w:ascii="Arial" w:hAnsi="Arial" w:cs="Arial"/>
                <w:sz w:val="24"/>
                <w:szCs w:val="24"/>
              </w:rPr>
              <w:t xml:space="preserve">a proposal </w:t>
            </w:r>
            <w:r>
              <w:rPr>
                <w:rFonts w:ascii="Arial" w:hAnsi="Arial" w:cs="Arial"/>
                <w:sz w:val="24"/>
                <w:szCs w:val="24"/>
              </w:rPr>
              <w:t xml:space="preserve">there could be a </w:t>
            </w:r>
            <w:r w:rsidRPr="009158B8">
              <w:rPr>
                <w:rFonts w:ascii="Arial" w:hAnsi="Arial" w:cs="Arial"/>
                <w:sz w:val="24"/>
                <w:szCs w:val="24"/>
              </w:rPr>
              <w:t>presumption in favour.</w:t>
            </w:r>
          </w:p>
        </w:tc>
      </w:tr>
    </w:tbl>
    <w:p w:rsidR="002A6261" w:rsidRPr="002A6261" w:rsidRDefault="002A6261" w:rsidP="002A6261">
      <w:pPr>
        <w:rPr>
          <w:highlight w:val="yellow"/>
        </w:rPr>
      </w:pPr>
    </w:p>
    <w:p w:rsidR="002A6261" w:rsidRDefault="002A6261" w:rsidP="002A6261">
      <w:pPr>
        <w:rPr>
          <w:b/>
        </w:rPr>
      </w:pPr>
    </w:p>
    <w:p w:rsidR="002A6261" w:rsidRDefault="002A6261" w:rsidP="002A6261">
      <w:pPr>
        <w:rPr>
          <w:b/>
        </w:rPr>
      </w:pPr>
      <w:r w:rsidRPr="002A6261">
        <w:rPr>
          <w:b/>
        </w:rPr>
        <w:t>Is there any other related evidence that you think we should consider?</w:t>
      </w:r>
    </w:p>
    <w:p w:rsidR="002A6261" w:rsidRPr="002A6261" w:rsidRDefault="002A6261" w:rsidP="002A6261">
      <w:pPr>
        <w:rPr>
          <w: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2A6261" w:rsidRPr="002A6261" w:rsidTr="00E92AE9">
        <w:tc>
          <w:tcPr>
            <w:tcW w:w="1384" w:type="dxa"/>
            <w:shd w:val="clear" w:color="auto" w:fill="7030A0"/>
          </w:tcPr>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r w:rsidRPr="002A6261">
              <w:rPr>
                <w:b/>
                <w:color w:val="FFFFFF" w:themeColor="background1"/>
              </w:rPr>
              <w:t>Q</w:t>
            </w:r>
            <w:r>
              <w:rPr>
                <w:b/>
                <w:color w:val="FFFFFF" w:themeColor="background1"/>
              </w:rPr>
              <w:t>6</w:t>
            </w:r>
          </w:p>
        </w:tc>
        <w:tc>
          <w:tcPr>
            <w:tcW w:w="7858" w:type="dxa"/>
            <w:shd w:val="clear" w:color="auto" w:fill="B2A1C7" w:themeFill="accent4" w:themeFillTint="99"/>
          </w:tcPr>
          <w:p w:rsidR="002A6261" w:rsidRPr="002A6261" w:rsidRDefault="002A6261" w:rsidP="002A6261">
            <w:pPr>
              <w:rPr>
                <w:b/>
              </w:rPr>
            </w:pPr>
          </w:p>
          <w:p w:rsidR="002A6261" w:rsidRPr="002A6261" w:rsidRDefault="002A6261" w:rsidP="002A6261">
            <w:pPr>
              <w:spacing w:line="360" w:lineRule="auto"/>
            </w:pPr>
            <w:r w:rsidRPr="002A6261">
              <w:t>If you would like to submit any other information related to the issues raised in this consultation, please do so here.</w:t>
            </w:r>
          </w:p>
        </w:tc>
      </w:tr>
      <w:tr w:rsidR="002A6261" w:rsidRPr="002A6261" w:rsidTr="00E92AE9">
        <w:tc>
          <w:tcPr>
            <w:tcW w:w="9242" w:type="dxa"/>
            <w:gridSpan w:val="2"/>
          </w:tcPr>
          <w:p w:rsidR="002A6261" w:rsidRPr="002A6261" w:rsidRDefault="002A6261" w:rsidP="002A6261">
            <w:pPr>
              <w:rPr>
                <w:b/>
              </w:rPr>
            </w:pPr>
          </w:p>
        </w:tc>
      </w:tr>
      <w:tr w:rsidR="002A6261" w:rsidRPr="002A6261" w:rsidTr="00E92AE9">
        <w:tc>
          <w:tcPr>
            <w:tcW w:w="9242" w:type="dxa"/>
            <w:gridSpan w:val="2"/>
            <w:shd w:val="clear" w:color="auto" w:fill="B2A1C7" w:themeFill="accent4" w:themeFillTint="99"/>
          </w:tcPr>
          <w:p w:rsidR="002A6261" w:rsidRPr="002A6261" w:rsidRDefault="002A6261" w:rsidP="002A6261">
            <w:pPr>
              <w:rPr>
                <w:b/>
              </w:rPr>
            </w:pPr>
            <w:r w:rsidRPr="002A6261">
              <w:rPr>
                <w:b/>
              </w:rPr>
              <w:t>Comments</w:t>
            </w:r>
          </w:p>
        </w:tc>
      </w:tr>
      <w:tr w:rsidR="002A6261" w:rsidRPr="002A6261" w:rsidTr="00E92AE9">
        <w:tc>
          <w:tcPr>
            <w:tcW w:w="9242" w:type="dxa"/>
            <w:gridSpan w:val="2"/>
          </w:tcPr>
          <w:p w:rsidR="002A6261" w:rsidRPr="002A6261" w:rsidRDefault="002A6261" w:rsidP="002A6261">
            <w:pPr>
              <w:rPr>
                <w:b/>
              </w:rPr>
            </w:pPr>
          </w:p>
          <w:p w:rsidR="00870C92" w:rsidRPr="009158B8" w:rsidRDefault="00870C92" w:rsidP="00870C92">
            <w:pPr>
              <w:pStyle w:val="ListParagraph"/>
              <w:numPr>
                <w:ilvl w:val="0"/>
                <w:numId w:val="25"/>
              </w:numPr>
              <w:spacing w:after="240" w:line="259" w:lineRule="auto"/>
              <w:ind w:hanging="720"/>
              <w:contextualSpacing w:val="0"/>
              <w:rPr>
                <w:rFonts w:ascii="Arial" w:hAnsi="Arial" w:cs="Arial"/>
                <w:sz w:val="24"/>
                <w:szCs w:val="24"/>
              </w:rPr>
            </w:pPr>
            <w:r w:rsidRPr="009158B8">
              <w:rPr>
                <w:rFonts w:ascii="Arial" w:hAnsi="Arial" w:cs="Arial"/>
                <w:sz w:val="24"/>
                <w:szCs w:val="24"/>
              </w:rPr>
              <w:t>On 23rd January 2018</w:t>
            </w:r>
            <w:r w:rsidR="004D2488">
              <w:rPr>
                <w:rFonts w:ascii="Arial" w:hAnsi="Arial" w:cs="Arial"/>
                <w:sz w:val="24"/>
                <w:szCs w:val="24"/>
              </w:rPr>
              <w:t>,</w:t>
            </w:r>
            <w:r w:rsidRPr="009158B8">
              <w:rPr>
                <w:rFonts w:ascii="Arial" w:hAnsi="Arial" w:cs="Arial"/>
                <w:sz w:val="24"/>
                <w:szCs w:val="24"/>
              </w:rPr>
              <w:t xml:space="preserve"> Planning Aid Wales delivered a networking seminar entitled ‘Community-Led Housing: Opportunities and Innovation’.  The event was attended by 47 delegates from</w:t>
            </w:r>
            <w:bookmarkStart w:id="6" w:name="_GoBack"/>
            <w:bookmarkEnd w:id="6"/>
            <w:r w:rsidRPr="002458A0">
              <w:t xml:space="preserve"> </w:t>
            </w:r>
            <w:r w:rsidRPr="009158B8">
              <w:rPr>
                <w:rFonts w:ascii="Arial" w:hAnsi="Arial" w:cs="Arial"/>
                <w:sz w:val="24"/>
                <w:szCs w:val="24"/>
              </w:rPr>
              <w:t xml:space="preserve">Community and Town Councils, community groups, local planning authorities, the housing sector and the development industry.  PAW has enclosed a document summarising the outputs and discussion </w:t>
            </w:r>
            <w:r>
              <w:rPr>
                <w:rFonts w:ascii="Arial" w:hAnsi="Arial" w:cs="Arial"/>
                <w:sz w:val="24"/>
                <w:szCs w:val="24"/>
              </w:rPr>
              <w:t xml:space="preserve">at </w:t>
            </w:r>
            <w:r w:rsidRPr="009158B8">
              <w:rPr>
                <w:rFonts w:ascii="Arial" w:hAnsi="Arial" w:cs="Arial"/>
                <w:sz w:val="24"/>
                <w:szCs w:val="24"/>
              </w:rPr>
              <w:t xml:space="preserve">the event </w:t>
            </w:r>
            <w:r>
              <w:rPr>
                <w:rFonts w:ascii="Arial" w:hAnsi="Arial" w:cs="Arial"/>
                <w:sz w:val="24"/>
                <w:szCs w:val="24"/>
              </w:rPr>
              <w:t xml:space="preserve">for consideration </w:t>
            </w:r>
            <w:r w:rsidRPr="009158B8">
              <w:rPr>
                <w:rFonts w:ascii="Arial" w:hAnsi="Arial" w:cs="Arial"/>
                <w:sz w:val="24"/>
                <w:szCs w:val="24"/>
              </w:rPr>
              <w:t xml:space="preserve">as evidence for this consultation.  </w:t>
            </w:r>
          </w:p>
          <w:p w:rsidR="00870C92" w:rsidRPr="009158B8" w:rsidRDefault="00870C92" w:rsidP="00870C92">
            <w:pPr>
              <w:pStyle w:val="ListParagraph"/>
              <w:numPr>
                <w:ilvl w:val="0"/>
                <w:numId w:val="25"/>
              </w:numPr>
              <w:spacing w:after="240" w:line="259" w:lineRule="auto"/>
              <w:ind w:hanging="720"/>
              <w:contextualSpacing w:val="0"/>
              <w:rPr>
                <w:rFonts w:ascii="Arial" w:hAnsi="Arial" w:cs="Arial"/>
                <w:sz w:val="24"/>
                <w:szCs w:val="24"/>
              </w:rPr>
            </w:pPr>
            <w:r w:rsidRPr="009158B8">
              <w:rPr>
                <w:rFonts w:ascii="Arial" w:hAnsi="Arial" w:cs="Arial"/>
                <w:sz w:val="24"/>
                <w:szCs w:val="24"/>
              </w:rPr>
              <w:t>As a principle, PAW would advocate greater emphasis on community-led housing as one mechanism for the delivery of housing.  In planning terms, this would require:</w:t>
            </w:r>
          </w:p>
          <w:p w:rsidR="00870C92" w:rsidRPr="009158B8" w:rsidRDefault="00870C92" w:rsidP="00870C92">
            <w:pPr>
              <w:pStyle w:val="ListParagraph"/>
              <w:numPr>
                <w:ilvl w:val="0"/>
                <w:numId w:val="24"/>
              </w:numPr>
              <w:spacing w:after="240" w:line="259" w:lineRule="auto"/>
              <w:contextualSpacing w:val="0"/>
              <w:rPr>
                <w:rFonts w:ascii="Arial" w:hAnsi="Arial" w:cs="Arial"/>
                <w:sz w:val="24"/>
                <w:szCs w:val="24"/>
              </w:rPr>
            </w:pPr>
            <w:r>
              <w:rPr>
                <w:rFonts w:ascii="Arial" w:hAnsi="Arial" w:cs="Arial"/>
                <w:sz w:val="24"/>
                <w:szCs w:val="24"/>
              </w:rPr>
              <w:t>Emphasis on community-led housing within the national planning policy framework.</w:t>
            </w:r>
          </w:p>
          <w:p w:rsidR="00870C92" w:rsidRDefault="00870C92" w:rsidP="00870C92">
            <w:pPr>
              <w:pStyle w:val="ListParagraph"/>
              <w:numPr>
                <w:ilvl w:val="0"/>
                <w:numId w:val="24"/>
              </w:numPr>
              <w:spacing w:after="240" w:line="259" w:lineRule="auto"/>
              <w:contextualSpacing w:val="0"/>
              <w:rPr>
                <w:rFonts w:ascii="Arial" w:hAnsi="Arial" w:cs="Arial"/>
                <w:sz w:val="24"/>
                <w:szCs w:val="24"/>
              </w:rPr>
            </w:pPr>
            <w:r>
              <w:rPr>
                <w:rFonts w:ascii="Arial" w:hAnsi="Arial" w:cs="Arial"/>
                <w:sz w:val="24"/>
                <w:szCs w:val="24"/>
              </w:rPr>
              <w:t>Emphasis on c</w:t>
            </w:r>
            <w:r w:rsidRPr="001F069B">
              <w:rPr>
                <w:rFonts w:ascii="Arial" w:hAnsi="Arial" w:cs="Arial"/>
                <w:sz w:val="24"/>
                <w:szCs w:val="24"/>
              </w:rPr>
              <w:t xml:space="preserve">lear support for appropriate community-led schemes within Local Development Plan Policies and / or Supplementary Planning Guidance and an emphasis on community-led housing as a potential topic for inclusion within Place Plans. </w:t>
            </w:r>
          </w:p>
          <w:p w:rsidR="00870C92" w:rsidRDefault="00870C92" w:rsidP="00870C92">
            <w:pPr>
              <w:pStyle w:val="ListParagraph"/>
              <w:numPr>
                <w:ilvl w:val="0"/>
                <w:numId w:val="24"/>
              </w:numPr>
              <w:spacing w:after="240" w:line="259" w:lineRule="auto"/>
              <w:contextualSpacing w:val="0"/>
              <w:rPr>
                <w:rFonts w:ascii="Arial" w:hAnsi="Arial" w:cs="Arial"/>
                <w:sz w:val="24"/>
                <w:szCs w:val="24"/>
              </w:rPr>
            </w:pPr>
            <w:r>
              <w:rPr>
                <w:rFonts w:ascii="Arial" w:hAnsi="Arial" w:cs="Arial"/>
                <w:sz w:val="24"/>
                <w:szCs w:val="24"/>
              </w:rPr>
              <w:t xml:space="preserve">Development and dissemination of guidance and best practice on community-led housing. </w:t>
            </w:r>
          </w:p>
          <w:p w:rsidR="002A6261" w:rsidRPr="00870C92" w:rsidRDefault="002A6261" w:rsidP="002A6261"/>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Pr="002A6261" w:rsidRDefault="002A6261" w:rsidP="002A6261">
            <w:pPr>
              <w:rPr>
                <w:b/>
              </w:rPr>
            </w:pPr>
          </w:p>
          <w:p w:rsidR="002A6261" w:rsidRDefault="002A6261" w:rsidP="002A6261">
            <w:pPr>
              <w:rPr>
                <w:b/>
              </w:rPr>
            </w:pPr>
          </w:p>
          <w:p w:rsidR="00360A33" w:rsidRDefault="00360A33" w:rsidP="002A6261">
            <w:pPr>
              <w:rPr>
                <w:b/>
              </w:rPr>
            </w:pPr>
          </w:p>
          <w:p w:rsidR="00360A33" w:rsidRDefault="00360A33" w:rsidP="002A6261">
            <w:pPr>
              <w:rPr>
                <w:b/>
              </w:rPr>
            </w:pPr>
          </w:p>
          <w:p w:rsidR="00360A33" w:rsidRDefault="00360A33" w:rsidP="002A6261">
            <w:pPr>
              <w:rPr>
                <w:b/>
              </w:rPr>
            </w:pPr>
          </w:p>
          <w:p w:rsidR="00360A33" w:rsidRDefault="00360A33" w:rsidP="002A6261">
            <w:pPr>
              <w:rPr>
                <w:b/>
              </w:rPr>
            </w:pPr>
          </w:p>
          <w:p w:rsidR="00360A33" w:rsidRDefault="00360A33" w:rsidP="002A6261">
            <w:pPr>
              <w:rPr>
                <w:b/>
              </w:rPr>
            </w:pPr>
          </w:p>
          <w:p w:rsidR="00360A33" w:rsidRPr="002A6261" w:rsidRDefault="00360A33" w:rsidP="002A6261">
            <w:pPr>
              <w:rPr>
                <w:b/>
              </w:rPr>
            </w:pPr>
          </w:p>
        </w:tc>
      </w:tr>
    </w:tbl>
    <w:p w:rsidR="002A6261" w:rsidRPr="002A6261" w:rsidRDefault="002A6261" w:rsidP="002A6261">
      <w:pPr>
        <w:rPr>
          <w:b/>
        </w:rPr>
      </w:pPr>
    </w:p>
    <w:p w:rsidR="002A6261" w:rsidRPr="002A6261" w:rsidRDefault="002A6261" w:rsidP="002A6261">
      <w:pPr>
        <w:rPr>
          <w:b/>
        </w:rPr>
      </w:pPr>
    </w:p>
    <w:p w:rsidR="003A5747" w:rsidRDefault="003A5747">
      <w:pPr>
        <w:rPr>
          <w:highlight w:val="yellow"/>
        </w:rPr>
      </w:pPr>
      <w:r>
        <w:rPr>
          <w:highlight w:val="yellow"/>
        </w:rPr>
        <w:lastRenderedPageBreak/>
        <w:br w:type="page"/>
      </w:r>
    </w:p>
    <w:p w:rsidR="008378DD" w:rsidRPr="000D075D" w:rsidRDefault="008378DD" w:rsidP="008378DD">
      <w:pPr>
        <w:rPr>
          <w:rFonts w:cs="Arial"/>
          <w:b/>
          <w:bCs/>
        </w:rPr>
      </w:pPr>
      <w:r w:rsidRPr="000D075D">
        <w:rPr>
          <w:rFonts w:cs="Arial"/>
          <w:b/>
          <w:bCs/>
        </w:rPr>
        <w:lastRenderedPageBreak/>
        <w:t>How to respond</w:t>
      </w:r>
    </w:p>
    <w:p w:rsidR="008378DD" w:rsidRDefault="008378DD" w:rsidP="008378DD">
      <w:pPr>
        <w:autoSpaceDE w:val="0"/>
        <w:autoSpaceDN w:val="0"/>
        <w:adjustRightInd w:val="0"/>
        <w:spacing w:before="100" w:after="100"/>
        <w:rPr>
          <w:rFonts w:cs="Arial"/>
        </w:rPr>
      </w:pPr>
      <w:r w:rsidRPr="000D075D">
        <w:rPr>
          <w:rFonts w:cs="Arial"/>
        </w:rPr>
        <w:t xml:space="preserve">Please submit your comments by </w:t>
      </w:r>
      <w:r w:rsidR="00F7342D">
        <w:rPr>
          <w:rFonts w:cs="Arial"/>
          <w:b/>
        </w:rPr>
        <w:t>10</w:t>
      </w:r>
      <w:r w:rsidRPr="00B00C44">
        <w:rPr>
          <w:rFonts w:cs="Arial"/>
          <w:b/>
        </w:rPr>
        <w:t xml:space="preserve"> </w:t>
      </w:r>
      <w:r w:rsidR="00B00C44">
        <w:rPr>
          <w:rFonts w:cs="Arial"/>
          <w:b/>
        </w:rPr>
        <w:t>October</w:t>
      </w:r>
      <w:r w:rsidRPr="00023BD5">
        <w:rPr>
          <w:rFonts w:cs="Arial"/>
          <w:b/>
        </w:rPr>
        <w:t xml:space="preserve"> 2018</w:t>
      </w:r>
      <w:r w:rsidRPr="000D075D">
        <w:rPr>
          <w:rFonts w:cs="Arial"/>
        </w:rPr>
        <w:t xml:space="preserve">, in any of the following ways: </w:t>
      </w:r>
    </w:p>
    <w:p w:rsidR="008378DD" w:rsidRPr="007A7AFD" w:rsidRDefault="008378DD" w:rsidP="008378DD">
      <w:pPr>
        <w:autoSpaceDE w:val="0"/>
        <w:autoSpaceDN w:val="0"/>
        <w:adjustRightInd w:val="0"/>
        <w:spacing w:before="100" w:after="100"/>
        <w:rPr>
          <w:rFonts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8378DD" w:rsidRPr="007A7AFD" w:rsidTr="001224A9">
        <w:tc>
          <w:tcPr>
            <w:tcW w:w="468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4A350C">
              <w:rPr>
                <w:rFonts w:cs="Arial"/>
                <w:b/>
                <w:bCs/>
              </w:rPr>
              <w:t>Email</w:t>
            </w:r>
          </w:p>
        </w:tc>
        <w:tc>
          <w:tcPr>
            <w:tcW w:w="4720" w:type="dxa"/>
            <w:shd w:val="clear" w:color="auto" w:fill="B2A1C7" w:themeFill="accent4" w:themeFillTint="99"/>
            <w:vAlign w:val="center"/>
          </w:tcPr>
          <w:p w:rsidR="008378DD" w:rsidRPr="009A027E" w:rsidRDefault="008378DD" w:rsidP="008378DD">
            <w:pPr>
              <w:autoSpaceDE w:val="0"/>
              <w:autoSpaceDN w:val="0"/>
              <w:adjustRightInd w:val="0"/>
              <w:spacing w:before="100" w:after="100"/>
              <w:rPr>
                <w:rFonts w:cs="Arial"/>
                <w:b/>
              </w:rPr>
            </w:pPr>
            <w:r w:rsidRPr="009A027E">
              <w:rPr>
                <w:rFonts w:cs="Arial"/>
                <w:b/>
                <w:bCs/>
              </w:rPr>
              <w:t>Post</w:t>
            </w:r>
          </w:p>
        </w:tc>
      </w:tr>
      <w:tr w:rsidR="008378DD" w:rsidRPr="007A7AFD" w:rsidTr="008378DD">
        <w:tc>
          <w:tcPr>
            <w:tcW w:w="4680" w:type="dxa"/>
          </w:tcPr>
          <w:p w:rsidR="009C0AA3" w:rsidRDefault="009C0AA3" w:rsidP="008378DD">
            <w:pPr>
              <w:keepNext/>
              <w:autoSpaceDE w:val="0"/>
              <w:autoSpaceDN w:val="0"/>
              <w:adjustRightInd w:val="0"/>
              <w:spacing w:before="100" w:after="100"/>
              <w:outlineLvl w:val="4"/>
              <w:rPr>
                <w:rFonts w:cs="Arial"/>
              </w:rPr>
            </w:pPr>
          </w:p>
          <w:p w:rsidR="008378DD" w:rsidRPr="004A350C" w:rsidRDefault="008378DD" w:rsidP="008378DD">
            <w:pPr>
              <w:keepNext/>
              <w:autoSpaceDE w:val="0"/>
              <w:autoSpaceDN w:val="0"/>
              <w:adjustRightInd w:val="0"/>
              <w:spacing w:before="100" w:after="100"/>
              <w:outlineLvl w:val="4"/>
              <w:rPr>
                <w:rFonts w:cs="Arial"/>
              </w:rPr>
            </w:pPr>
            <w:r w:rsidRPr="004A350C">
              <w:rPr>
                <w:rFonts w:cs="Arial"/>
              </w:rPr>
              <w:t>Please complete the c</w:t>
            </w:r>
            <w:r>
              <w:rPr>
                <w:rFonts w:cs="Arial"/>
              </w:rPr>
              <w:t>onsultation form and send it to</w:t>
            </w:r>
            <w:r w:rsidRPr="004A350C">
              <w:rPr>
                <w:rFonts w:cs="Arial"/>
              </w:rPr>
              <w:t xml:space="preserve">: </w:t>
            </w:r>
          </w:p>
          <w:p w:rsidR="00FB7C79" w:rsidRPr="00FB7C79" w:rsidRDefault="00473634" w:rsidP="00FB7C79">
            <w:pPr>
              <w:rPr>
                <w:rFonts w:cs="Arial"/>
              </w:rPr>
            </w:pPr>
            <w:hyperlink r:id="rId12" w:history="1">
              <w:r w:rsidR="00FB7C79" w:rsidRPr="00FB7C79">
                <w:rPr>
                  <w:rStyle w:val="Hyperlink"/>
                  <w:rFonts w:cs="Arial"/>
                </w:rPr>
                <w:t>planconsultations-j@gov.wales</w:t>
              </w:r>
            </w:hyperlink>
          </w:p>
          <w:p w:rsidR="00B00C44" w:rsidRDefault="00B00C44" w:rsidP="008378DD">
            <w:pPr>
              <w:rPr>
                <w:rFonts w:cs="Arial"/>
              </w:rPr>
            </w:pPr>
          </w:p>
          <w:p w:rsidR="008378DD" w:rsidRPr="00D6148C" w:rsidRDefault="009C0AA3" w:rsidP="00360A33">
            <w:pPr>
              <w:rPr>
                <w:b/>
                <w:sz w:val="28"/>
                <w:szCs w:val="28"/>
              </w:rPr>
            </w:pPr>
            <w:r>
              <w:rPr>
                <w:rFonts w:cs="Arial"/>
              </w:rPr>
              <w:t>[</w:t>
            </w:r>
            <w:r w:rsidR="008378DD" w:rsidRPr="009A027E">
              <w:rPr>
                <w:rFonts w:cs="Arial"/>
              </w:rPr>
              <w:t>Please include</w:t>
            </w:r>
            <w:r w:rsidR="008378DD" w:rsidRPr="009A027E">
              <w:rPr>
                <w:rFonts w:cs="Arial"/>
                <w:b/>
                <w:bCs/>
              </w:rPr>
              <w:t xml:space="preserve"> </w:t>
            </w:r>
            <w:r w:rsidR="00360A33">
              <w:rPr>
                <w:rFonts w:cs="Arial"/>
                <w:b/>
                <w:bCs/>
              </w:rPr>
              <w:t xml:space="preserve">Call for Evidence on </w:t>
            </w:r>
            <w:r w:rsidR="00B00C44">
              <w:rPr>
                <w:rFonts w:cs="Arial"/>
                <w:b/>
                <w:bCs/>
              </w:rPr>
              <w:t xml:space="preserve">Housing Delivery </w:t>
            </w:r>
            <w:r w:rsidR="008378DD" w:rsidRPr="009A027E">
              <w:rPr>
                <w:rFonts w:cs="Arial"/>
              </w:rPr>
              <w:t>in the subject line</w:t>
            </w:r>
            <w:r>
              <w:rPr>
                <w:rFonts w:cs="Arial"/>
              </w:rPr>
              <w:t>]</w:t>
            </w:r>
          </w:p>
        </w:tc>
        <w:tc>
          <w:tcPr>
            <w:tcW w:w="4720" w:type="dxa"/>
          </w:tcPr>
          <w:p w:rsidR="009C0AA3" w:rsidRDefault="009C0AA3" w:rsidP="008378DD">
            <w:pPr>
              <w:keepNext/>
              <w:autoSpaceDE w:val="0"/>
              <w:autoSpaceDN w:val="0"/>
              <w:adjustRightInd w:val="0"/>
              <w:spacing w:before="100" w:after="100"/>
              <w:outlineLvl w:val="4"/>
              <w:rPr>
                <w:rFonts w:cs="Arial"/>
              </w:rPr>
            </w:pPr>
          </w:p>
          <w:p w:rsidR="008378DD" w:rsidRPr="009A027E" w:rsidRDefault="008378DD" w:rsidP="008378DD">
            <w:pPr>
              <w:keepNext/>
              <w:autoSpaceDE w:val="0"/>
              <w:autoSpaceDN w:val="0"/>
              <w:adjustRightInd w:val="0"/>
              <w:spacing w:before="100" w:after="100"/>
              <w:outlineLvl w:val="4"/>
              <w:rPr>
                <w:rFonts w:cs="Arial"/>
              </w:rPr>
            </w:pPr>
            <w:r w:rsidRPr="009A027E">
              <w:rPr>
                <w:rFonts w:cs="Arial"/>
              </w:rPr>
              <w:t>Please complete the consultation form and send it to:</w:t>
            </w:r>
          </w:p>
          <w:p w:rsidR="008378DD" w:rsidRDefault="008378DD" w:rsidP="008378DD">
            <w:pPr>
              <w:rPr>
                <w:rFonts w:cs="Arial"/>
                <w:color w:val="000000"/>
                <w:highlight w:val="yellow"/>
              </w:rPr>
            </w:pPr>
          </w:p>
          <w:p w:rsidR="00B00C44" w:rsidRPr="00266B15" w:rsidRDefault="00360A33" w:rsidP="008378DD">
            <w:pPr>
              <w:rPr>
                <w:rFonts w:cs="Arial"/>
                <w:bCs/>
                <w:color w:val="000000"/>
              </w:rPr>
            </w:pPr>
            <w:r w:rsidRPr="00B00C44">
              <w:rPr>
                <w:rFonts w:cs="Arial"/>
                <w:bCs/>
                <w:color w:val="000000"/>
              </w:rPr>
              <w:t xml:space="preserve">Call for Evidence </w:t>
            </w:r>
            <w:r>
              <w:rPr>
                <w:rFonts w:cs="Arial"/>
                <w:bCs/>
                <w:color w:val="000000"/>
              </w:rPr>
              <w:t xml:space="preserve">on </w:t>
            </w:r>
            <w:r w:rsidR="00B00C44" w:rsidRPr="00B00C44">
              <w:rPr>
                <w:rFonts w:cs="Arial"/>
                <w:bCs/>
                <w:color w:val="000000"/>
              </w:rPr>
              <w:t>Housing Delivery</w:t>
            </w:r>
          </w:p>
          <w:p w:rsidR="008378DD" w:rsidRPr="009A027E" w:rsidRDefault="008378DD" w:rsidP="008378DD">
            <w:pPr>
              <w:rPr>
                <w:rFonts w:cs="Arial"/>
                <w:color w:val="000000"/>
              </w:rPr>
            </w:pPr>
            <w:r w:rsidRPr="009A027E">
              <w:rPr>
                <w:rFonts w:cs="Arial"/>
                <w:color w:val="000000"/>
              </w:rPr>
              <w:t>Planning Directorate</w:t>
            </w:r>
          </w:p>
          <w:p w:rsidR="008378DD" w:rsidRPr="009A027E" w:rsidRDefault="008378DD" w:rsidP="008378DD">
            <w:pPr>
              <w:rPr>
                <w:rFonts w:cs="Arial"/>
                <w:color w:val="000000"/>
              </w:rPr>
            </w:pPr>
            <w:r w:rsidRPr="009A027E">
              <w:rPr>
                <w:rFonts w:cs="Arial"/>
                <w:color w:val="000000"/>
              </w:rPr>
              <w:t>Welsh Government</w:t>
            </w:r>
          </w:p>
          <w:p w:rsidR="008378DD" w:rsidRPr="009A027E" w:rsidRDefault="008378DD" w:rsidP="008378DD">
            <w:pPr>
              <w:rPr>
                <w:rFonts w:cs="Arial"/>
                <w:color w:val="000000"/>
              </w:rPr>
            </w:pPr>
            <w:r w:rsidRPr="009A027E">
              <w:rPr>
                <w:rFonts w:cs="Arial"/>
                <w:color w:val="000000"/>
              </w:rPr>
              <w:t>Cathays Park</w:t>
            </w:r>
          </w:p>
          <w:p w:rsidR="008378DD" w:rsidRPr="009A027E" w:rsidRDefault="008378DD" w:rsidP="008378DD">
            <w:pPr>
              <w:rPr>
                <w:rFonts w:cs="Arial"/>
                <w:color w:val="000000"/>
              </w:rPr>
            </w:pPr>
            <w:r w:rsidRPr="009A027E">
              <w:rPr>
                <w:rFonts w:cs="Arial"/>
                <w:color w:val="000000"/>
              </w:rPr>
              <w:t>Cardiff</w:t>
            </w:r>
          </w:p>
          <w:p w:rsidR="008378DD" w:rsidRPr="009A027E" w:rsidRDefault="008378DD" w:rsidP="008378DD">
            <w:pPr>
              <w:rPr>
                <w:rFonts w:cs="Arial"/>
                <w:color w:val="000000"/>
              </w:rPr>
            </w:pPr>
            <w:r w:rsidRPr="009A027E">
              <w:rPr>
                <w:rFonts w:cs="Arial"/>
                <w:color w:val="000000"/>
              </w:rPr>
              <w:t>CF10 3NQ</w:t>
            </w:r>
          </w:p>
          <w:p w:rsidR="008378DD" w:rsidRPr="009A027E" w:rsidRDefault="008378DD" w:rsidP="008378DD">
            <w:pPr>
              <w:rPr>
                <w:rFonts w:cs="Arial"/>
              </w:rPr>
            </w:pPr>
          </w:p>
        </w:tc>
      </w:tr>
    </w:tbl>
    <w:p w:rsidR="008378DD" w:rsidRPr="007A7AFD" w:rsidRDefault="008378DD" w:rsidP="008378DD">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8378DD" w:rsidRPr="007A7AFD" w:rsidTr="001224A9">
        <w:tc>
          <w:tcPr>
            <w:tcW w:w="940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9A027E">
              <w:rPr>
                <w:rFonts w:cs="Arial"/>
                <w:b/>
                <w:bCs/>
              </w:rPr>
              <w:t>Additional information</w:t>
            </w:r>
          </w:p>
        </w:tc>
      </w:tr>
      <w:tr w:rsidR="008378DD" w:rsidTr="005749D4">
        <w:trPr>
          <w:trHeight w:val="2344"/>
        </w:trPr>
        <w:tc>
          <w:tcPr>
            <w:tcW w:w="9400" w:type="dxa"/>
          </w:tcPr>
          <w:p w:rsidR="008378DD" w:rsidRPr="009A027E" w:rsidRDefault="008378DD" w:rsidP="008378DD">
            <w:pPr>
              <w:autoSpaceDE w:val="0"/>
              <w:autoSpaceDN w:val="0"/>
              <w:adjustRightInd w:val="0"/>
              <w:spacing w:before="100" w:after="100"/>
              <w:rPr>
                <w:rFonts w:cs="Arial"/>
              </w:rPr>
            </w:pPr>
            <w:r w:rsidRPr="009A027E">
              <w:rPr>
                <w:rFonts w:cs="Arial"/>
              </w:rPr>
              <w:t>If you have any queries about this consultation, please</w:t>
            </w:r>
            <w:r>
              <w:rPr>
                <w:rFonts w:cs="Arial"/>
              </w:rPr>
              <w:t>:</w:t>
            </w:r>
            <w:r w:rsidRPr="009A027E">
              <w:rPr>
                <w:rFonts w:cs="Arial"/>
              </w:rPr>
              <w:t xml:space="preserve"> </w:t>
            </w:r>
          </w:p>
          <w:p w:rsidR="009C0AA3" w:rsidRDefault="009C0AA3" w:rsidP="008378DD">
            <w:pPr>
              <w:rPr>
                <w:rFonts w:cs="Arial"/>
                <w:color w:val="000000"/>
              </w:rPr>
            </w:pPr>
          </w:p>
          <w:p w:rsidR="000B2178" w:rsidRPr="000B2178" w:rsidRDefault="008378DD" w:rsidP="000B2178">
            <w:pPr>
              <w:rPr>
                <w:rFonts w:cs="Arial"/>
                <w:color w:val="000000"/>
              </w:rPr>
            </w:pPr>
            <w:r w:rsidRPr="009A027E">
              <w:rPr>
                <w:rFonts w:cs="Arial"/>
                <w:color w:val="000000"/>
              </w:rPr>
              <w:t xml:space="preserve">Email: </w:t>
            </w:r>
            <w:hyperlink r:id="rId13" w:history="1">
              <w:r w:rsidR="00266B15" w:rsidRPr="00266B15">
                <w:rPr>
                  <w:rStyle w:val="Hyperlink"/>
                  <w:rFonts w:cs="Arial"/>
                </w:rPr>
                <w:t>planconsultations-j@gov.wales</w:t>
              </w:r>
            </w:hyperlink>
          </w:p>
          <w:p w:rsidR="008378DD" w:rsidRDefault="008378DD" w:rsidP="008378DD">
            <w:pPr>
              <w:rPr>
                <w:rFonts w:cs="Arial"/>
                <w:color w:val="000000"/>
              </w:rPr>
            </w:pPr>
          </w:p>
          <w:p w:rsidR="008378DD" w:rsidRDefault="008378DD" w:rsidP="001224A9">
            <w:pPr>
              <w:rPr>
                <w:rFonts w:cs="Arial"/>
                <w:color w:val="000000"/>
              </w:rPr>
            </w:pPr>
            <w:r w:rsidRPr="009A027E">
              <w:rPr>
                <w:rFonts w:cs="Arial"/>
                <w:color w:val="000000"/>
              </w:rPr>
              <w:t>Telephon</w:t>
            </w:r>
            <w:r w:rsidRPr="00266B15">
              <w:rPr>
                <w:rFonts w:cs="Arial"/>
                <w:color w:val="000000"/>
              </w:rPr>
              <w:t xml:space="preserve">e: </w:t>
            </w:r>
            <w:r w:rsidR="00266B15" w:rsidRPr="00266B15">
              <w:rPr>
                <w:rFonts w:cs="Arial"/>
                <w:color w:val="000000"/>
              </w:rPr>
              <w:t xml:space="preserve">03000 253882 or </w:t>
            </w:r>
            <w:r w:rsidRPr="00266B15">
              <w:rPr>
                <w:rFonts w:cs="Arial"/>
                <w:color w:val="000000"/>
              </w:rPr>
              <w:t>03000</w:t>
            </w:r>
            <w:r w:rsidR="00266B15">
              <w:rPr>
                <w:rFonts w:cs="Arial"/>
                <w:color w:val="000000"/>
              </w:rPr>
              <w:t xml:space="preserve"> </w:t>
            </w:r>
            <w:r w:rsidRPr="00266B15">
              <w:rPr>
                <w:rFonts w:cs="Arial"/>
                <w:color w:val="000000"/>
              </w:rPr>
              <w:t>25</w:t>
            </w:r>
            <w:r w:rsidR="005749D4" w:rsidRPr="00266B15">
              <w:rPr>
                <w:rFonts w:cs="Arial"/>
                <w:color w:val="000000"/>
              </w:rPr>
              <w:t>6802</w:t>
            </w:r>
          </w:p>
          <w:p w:rsidR="00023BD5" w:rsidRPr="00A40D32" w:rsidRDefault="00023BD5" w:rsidP="001224A9">
            <w:pPr>
              <w:rPr>
                <w:rFonts w:cs="Arial"/>
              </w:rPr>
            </w:pPr>
          </w:p>
        </w:tc>
      </w:tr>
    </w:tbl>
    <w:p w:rsidR="008378DD" w:rsidRDefault="008378DD" w:rsidP="008378DD"/>
    <w:p w:rsidR="00432DE1" w:rsidRPr="00EB4A91" w:rsidRDefault="00432DE1" w:rsidP="00EB4A91"/>
    <w:sectPr w:rsidR="00432DE1" w:rsidRPr="00EB4A91" w:rsidSect="00990460">
      <w:headerReference w:type="default" r:id="rId14"/>
      <w:footerReference w:type="default" r:id="rId15"/>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34" w:rsidRDefault="00473634" w:rsidP="00622829">
      <w:r>
        <w:separator/>
      </w:r>
    </w:p>
  </w:endnote>
  <w:endnote w:type="continuationSeparator" w:id="0">
    <w:p w:rsidR="00473634" w:rsidRDefault="00473634"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1E" w:rsidRDefault="00A46E1E">
    <w:pPr>
      <w:pStyle w:val="Footer"/>
      <w:jc w:val="right"/>
    </w:pPr>
    <w:r>
      <w:fldChar w:fldCharType="begin"/>
    </w:r>
    <w:r>
      <w:instrText xml:space="preserve"> PAGE   \* MERGEFORMAT </w:instrText>
    </w:r>
    <w:r>
      <w:fldChar w:fldCharType="separate"/>
    </w:r>
    <w:r w:rsidR="004D2488">
      <w:rPr>
        <w:noProof/>
      </w:rPr>
      <w:t>8</w:t>
    </w:r>
    <w:r>
      <w:rPr>
        <w:noProof/>
      </w:rPr>
      <w:fldChar w:fldCharType="end"/>
    </w:r>
  </w:p>
  <w:p w:rsidR="00A46E1E" w:rsidRDefault="00A46E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34" w:rsidRDefault="00473634" w:rsidP="00622829">
      <w:r>
        <w:separator/>
      </w:r>
    </w:p>
  </w:footnote>
  <w:footnote w:type="continuationSeparator" w:id="0">
    <w:p w:rsidR="00473634" w:rsidRDefault="00473634" w:rsidP="006228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1E" w:rsidRDefault="00A46E1E">
    <w:pPr>
      <w:pStyle w:val="Header"/>
    </w:pPr>
  </w:p>
  <w:p w:rsidR="00A46E1E" w:rsidRDefault="00A46E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ED5"/>
    <w:multiLevelType w:val="hybridMultilevel"/>
    <w:tmpl w:val="12D270D8"/>
    <w:lvl w:ilvl="0" w:tplc="B270F25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A30D3"/>
    <w:multiLevelType w:val="hybridMultilevel"/>
    <w:tmpl w:val="78106350"/>
    <w:lvl w:ilvl="0" w:tplc="6F7ED09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C295C"/>
    <w:multiLevelType w:val="hybridMultilevel"/>
    <w:tmpl w:val="6A4202C0"/>
    <w:lvl w:ilvl="0" w:tplc="EE60615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CE5F24"/>
    <w:multiLevelType w:val="hybridMultilevel"/>
    <w:tmpl w:val="49B87768"/>
    <w:lvl w:ilvl="0" w:tplc="888A8BC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F19C2"/>
    <w:multiLevelType w:val="hybridMultilevel"/>
    <w:tmpl w:val="B7362DE4"/>
    <w:lvl w:ilvl="0" w:tplc="31585D7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04B4B"/>
    <w:multiLevelType w:val="hybridMultilevel"/>
    <w:tmpl w:val="C54EB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5E5C36"/>
    <w:multiLevelType w:val="hybridMultilevel"/>
    <w:tmpl w:val="B1E63906"/>
    <w:lvl w:ilvl="0" w:tplc="554222C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F18D2"/>
    <w:multiLevelType w:val="hybridMultilevel"/>
    <w:tmpl w:val="AA12200E"/>
    <w:lvl w:ilvl="0" w:tplc="4B22B86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1"/>
  </w:num>
  <w:num w:numId="5">
    <w:abstractNumId w:val="8"/>
  </w:num>
  <w:num w:numId="6">
    <w:abstractNumId w:val="15"/>
  </w:num>
  <w:num w:numId="7">
    <w:abstractNumId w:val="19"/>
  </w:num>
  <w:num w:numId="8">
    <w:abstractNumId w:val="10"/>
  </w:num>
  <w:num w:numId="9">
    <w:abstractNumId w:val="4"/>
  </w:num>
  <w:num w:numId="10">
    <w:abstractNumId w:val="24"/>
  </w:num>
  <w:num w:numId="11">
    <w:abstractNumId w:val="17"/>
  </w:num>
  <w:num w:numId="12">
    <w:abstractNumId w:val="5"/>
  </w:num>
  <w:num w:numId="13">
    <w:abstractNumId w:val="22"/>
  </w:num>
  <w:num w:numId="14">
    <w:abstractNumId w:val="6"/>
  </w:num>
  <w:num w:numId="15">
    <w:abstractNumId w:val="14"/>
  </w:num>
  <w:num w:numId="16">
    <w:abstractNumId w:val="16"/>
  </w:num>
  <w:num w:numId="17">
    <w:abstractNumId w:val="12"/>
  </w:num>
  <w:num w:numId="18">
    <w:abstractNumId w:val="18"/>
  </w:num>
  <w:num w:numId="19">
    <w:abstractNumId w:val="0"/>
  </w:num>
  <w:num w:numId="20">
    <w:abstractNumId w:val="20"/>
  </w:num>
  <w:num w:numId="21">
    <w:abstractNumId w:val="2"/>
  </w:num>
  <w:num w:numId="22">
    <w:abstractNumId w:val="23"/>
  </w:num>
  <w:num w:numId="23">
    <w:abstractNumId w:val="11"/>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9"/>
    <w:rsid w:val="00002C1D"/>
    <w:rsid w:val="0000323F"/>
    <w:rsid w:val="00023BD5"/>
    <w:rsid w:val="00033611"/>
    <w:rsid w:val="00033B4A"/>
    <w:rsid w:val="000345E7"/>
    <w:rsid w:val="00042B84"/>
    <w:rsid w:val="00055A78"/>
    <w:rsid w:val="00074867"/>
    <w:rsid w:val="000769DF"/>
    <w:rsid w:val="00095F4C"/>
    <w:rsid w:val="000A79B8"/>
    <w:rsid w:val="000B2178"/>
    <w:rsid w:val="000B3BD4"/>
    <w:rsid w:val="000C191E"/>
    <w:rsid w:val="000E0892"/>
    <w:rsid w:val="000E1A92"/>
    <w:rsid w:val="001059D1"/>
    <w:rsid w:val="00110818"/>
    <w:rsid w:val="001224A9"/>
    <w:rsid w:val="00122AD6"/>
    <w:rsid w:val="0012519D"/>
    <w:rsid w:val="00125635"/>
    <w:rsid w:val="00134D1C"/>
    <w:rsid w:val="001A73D0"/>
    <w:rsid w:val="001B0488"/>
    <w:rsid w:val="001F152B"/>
    <w:rsid w:val="001F1C61"/>
    <w:rsid w:val="00200A1F"/>
    <w:rsid w:val="00203F52"/>
    <w:rsid w:val="00234A8E"/>
    <w:rsid w:val="00253EDC"/>
    <w:rsid w:val="0026000C"/>
    <w:rsid w:val="002665B3"/>
    <w:rsid w:val="00266B15"/>
    <w:rsid w:val="00275924"/>
    <w:rsid w:val="00276CD0"/>
    <w:rsid w:val="002A6261"/>
    <w:rsid w:val="002A7470"/>
    <w:rsid w:val="002D03FA"/>
    <w:rsid w:val="002E7EC5"/>
    <w:rsid w:val="002F7BA8"/>
    <w:rsid w:val="0033133A"/>
    <w:rsid w:val="00332E0A"/>
    <w:rsid w:val="00355B94"/>
    <w:rsid w:val="00360A33"/>
    <w:rsid w:val="00363DE1"/>
    <w:rsid w:val="003A5747"/>
    <w:rsid w:val="003A7BEF"/>
    <w:rsid w:val="003B4C86"/>
    <w:rsid w:val="003B69F5"/>
    <w:rsid w:val="003B75C3"/>
    <w:rsid w:val="003C329A"/>
    <w:rsid w:val="003C6F07"/>
    <w:rsid w:val="003C7840"/>
    <w:rsid w:val="003E3E4F"/>
    <w:rsid w:val="00403E2A"/>
    <w:rsid w:val="00411BE1"/>
    <w:rsid w:val="004175E7"/>
    <w:rsid w:val="00432DE1"/>
    <w:rsid w:val="00473634"/>
    <w:rsid w:val="00473887"/>
    <w:rsid w:val="00481924"/>
    <w:rsid w:val="004A59D4"/>
    <w:rsid w:val="004A6E71"/>
    <w:rsid w:val="004D2488"/>
    <w:rsid w:val="004E5834"/>
    <w:rsid w:val="004F4EFE"/>
    <w:rsid w:val="00506C65"/>
    <w:rsid w:val="005233C7"/>
    <w:rsid w:val="0054629E"/>
    <w:rsid w:val="00546CD7"/>
    <w:rsid w:val="00571A73"/>
    <w:rsid w:val="005749D4"/>
    <w:rsid w:val="00576BC4"/>
    <w:rsid w:val="005A7A30"/>
    <w:rsid w:val="005B18C9"/>
    <w:rsid w:val="005B7FDC"/>
    <w:rsid w:val="005C029C"/>
    <w:rsid w:val="005E05CB"/>
    <w:rsid w:val="005F50A7"/>
    <w:rsid w:val="00612D52"/>
    <w:rsid w:val="00614E9A"/>
    <w:rsid w:val="00614F1C"/>
    <w:rsid w:val="0061674A"/>
    <w:rsid w:val="00622829"/>
    <w:rsid w:val="00652AEE"/>
    <w:rsid w:val="00657360"/>
    <w:rsid w:val="0066584A"/>
    <w:rsid w:val="00667514"/>
    <w:rsid w:val="00684E6B"/>
    <w:rsid w:val="006A538D"/>
    <w:rsid w:val="006E4D01"/>
    <w:rsid w:val="006E5BF0"/>
    <w:rsid w:val="006F6070"/>
    <w:rsid w:val="00703132"/>
    <w:rsid w:val="0070759A"/>
    <w:rsid w:val="00715B8E"/>
    <w:rsid w:val="007509FB"/>
    <w:rsid w:val="007837E7"/>
    <w:rsid w:val="007975CF"/>
    <w:rsid w:val="007A03B1"/>
    <w:rsid w:val="007F42D6"/>
    <w:rsid w:val="007F5C85"/>
    <w:rsid w:val="00803CAE"/>
    <w:rsid w:val="00814581"/>
    <w:rsid w:val="008346B8"/>
    <w:rsid w:val="00835E82"/>
    <w:rsid w:val="008378DD"/>
    <w:rsid w:val="00850634"/>
    <w:rsid w:val="00854BF8"/>
    <w:rsid w:val="00870C92"/>
    <w:rsid w:val="008724B8"/>
    <w:rsid w:val="00887922"/>
    <w:rsid w:val="00890FB7"/>
    <w:rsid w:val="00894871"/>
    <w:rsid w:val="008A6C4F"/>
    <w:rsid w:val="008B78E9"/>
    <w:rsid w:val="008C28F3"/>
    <w:rsid w:val="008C28FD"/>
    <w:rsid w:val="008C40D2"/>
    <w:rsid w:val="00903874"/>
    <w:rsid w:val="00924D2E"/>
    <w:rsid w:val="009303F5"/>
    <w:rsid w:val="009421A6"/>
    <w:rsid w:val="0094558E"/>
    <w:rsid w:val="009455E6"/>
    <w:rsid w:val="009460D2"/>
    <w:rsid w:val="00975355"/>
    <w:rsid w:val="00982454"/>
    <w:rsid w:val="00990460"/>
    <w:rsid w:val="009A599E"/>
    <w:rsid w:val="009C0AA3"/>
    <w:rsid w:val="009D181C"/>
    <w:rsid w:val="009E6B78"/>
    <w:rsid w:val="009F364F"/>
    <w:rsid w:val="00A01387"/>
    <w:rsid w:val="00A0213B"/>
    <w:rsid w:val="00A219F2"/>
    <w:rsid w:val="00A30731"/>
    <w:rsid w:val="00A360BA"/>
    <w:rsid w:val="00A40BE9"/>
    <w:rsid w:val="00A4673C"/>
    <w:rsid w:val="00A46E1E"/>
    <w:rsid w:val="00A51DDE"/>
    <w:rsid w:val="00A64789"/>
    <w:rsid w:val="00A67FEE"/>
    <w:rsid w:val="00A72391"/>
    <w:rsid w:val="00A73C2D"/>
    <w:rsid w:val="00A90D8A"/>
    <w:rsid w:val="00AC3C4D"/>
    <w:rsid w:val="00AE654F"/>
    <w:rsid w:val="00B00C44"/>
    <w:rsid w:val="00B140B5"/>
    <w:rsid w:val="00B16688"/>
    <w:rsid w:val="00B56344"/>
    <w:rsid w:val="00B70F21"/>
    <w:rsid w:val="00B806DA"/>
    <w:rsid w:val="00BA1843"/>
    <w:rsid w:val="00BC3C11"/>
    <w:rsid w:val="00BC5EB8"/>
    <w:rsid w:val="00C06745"/>
    <w:rsid w:val="00C32658"/>
    <w:rsid w:val="00C41335"/>
    <w:rsid w:val="00C65993"/>
    <w:rsid w:val="00C76A60"/>
    <w:rsid w:val="00C8366A"/>
    <w:rsid w:val="00C85FC9"/>
    <w:rsid w:val="00CC03DB"/>
    <w:rsid w:val="00CD0353"/>
    <w:rsid w:val="00CE2985"/>
    <w:rsid w:val="00CE73C4"/>
    <w:rsid w:val="00D2182C"/>
    <w:rsid w:val="00D22539"/>
    <w:rsid w:val="00D42101"/>
    <w:rsid w:val="00D5079A"/>
    <w:rsid w:val="00D57B6F"/>
    <w:rsid w:val="00D71AAB"/>
    <w:rsid w:val="00DB1AF9"/>
    <w:rsid w:val="00DE102D"/>
    <w:rsid w:val="00DF5B4D"/>
    <w:rsid w:val="00E22625"/>
    <w:rsid w:val="00E45884"/>
    <w:rsid w:val="00E5766B"/>
    <w:rsid w:val="00E82372"/>
    <w:rsid w:val="00E86381"/>
    <w:rsid w:val="00E87838"/>
    <w:rsid w:val="00E918AC"/>
    <w:rsid w:val="00E92AE9"/>
    <w:rsid w:val="00EB4A91"/>
    <w:rsid w:val="00EE2A6F"/>
    <w:rsid w:val="00EF326F"/>
    <w:rsid w:val="00EF630D"/>
    <w:rsid w:val="00F07475"/>
    <w:rsid w:val="00F2012B"/>
    <w:rsid w:val="00F7342D"/>
    <w:rsid w:val="00F73BF9"/>
    <w:rsid w:val="00FB7C79"/>
    <w:rsid w:val="00FC2EE6"/>
    <w:rsid w:val="00FC4F2B"/>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3D1"/>
  <w15:docId w15:val="{789887ED-1EEE-43E1-8A7C-F0DD1BFA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1487">
      <w:bodyDiv w:val="1"/>
      <w:marLeft w:val="0"/>
      <w:marRight w:val="0"/>
      <w:marTop w:val="0"/>
      <w:marBottom w:val="0"/>
      <w:divBdr>
        <w:top w:val="none" w:sz="0" w:space="0" w:color="auto"/>
        <w:left w:val="none" w:sz="0" w:space="0" w:color="auto"/>
        <w:bottom w:val="none" w:sz="0" w:space="0" w:color="auto"/>
        <w:right w:val="none" w:sz="0" w:space="0" w:color="auto"/>
      </w:divBdr>
    </w:div>
    <w:div w:id="456531639">
      <w:bodyDiv w:val="1"/>
      <w:marLeft w:val="0"/>
      <w:marRight w:val="0"/>
      <w:marTop w:val="0"/>
      <w:marBottom w:val="0"/>
      <w:divBdr>
        <w:top w:val="none" w:sz="0" w:space="0" w:color="auto"/>
        <w:left w:val="none" w:sz="0" w:space="0" w:color="auto"/>
        <w:bottom w:val="none" w:sz="0" w:space="0" w:color="auto"/>
        <w:right w:val="none" w:sz="0" w:space="0" w:color="auto"/>
      </w:divBdr>
    </w:div>
    <w:div w:id="932319875">
      <w:bodyDiv w:val="1"/>
      <w:marLeft w:val="0"/>
      <w:marRight w:val="0"/>
      <w:marTop w:val="0"/>
      <w:marBottom w:val="0"/>
      <w:divBdr>
        <w:top w:val="none" w:sz="0" w:space="0" w:color="auto"/>
        <w:left w:val="none" w:sz="0" w:space="0" w:color="auto"/>
        <w:bottom w:val="none" w:sz="0" w:space="0" w:color="auto"/>
        <w:right w:val="none" w:sz="0" w:space="0" w:color="auto"/>
      </w:divBdr>
    </w:div>
    <w:div w:id="21453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nconsultations-j@gov.wal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lanconsultations-j@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ata.ProtectionOfficer@gov.wales" TargetMode="External"/><Relationship Id="rId4" Type="http://schemas.openxmlformats.org/officeDocument/2006/relationships/styles" Target="styles.xml"/><Relationship Id="rId9" Type="http://schemas.openxmlformats.org/officeDocument/2006/relationships/hyperlink" Target="mailto:planconsultations-j@gov.wa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A22768523</value>
    </field>
    <field name="Objective-Title">
      <value order="0">Housing delivery call for evidence - Consultation Response Form - English - TCP</value>
    </field>
    <field name="Objective-Description">
      <value order="0"/>
    </field>
    <field name="Objective-CreationStamp">
      <value order="0">2018-06-21T10:25:47Z</value>
    </field>
    <field name="Objective-IsApproved">
      <value order="0">false</value>
    </field>
    <field name="Objective-IsPublished">
      <value order="0">true</value>
    </field>
    <field name="Objective-DatePublished">
      <value order="0">2018-07-17T09:08:37Z</value>
    </field>
    <field name="Objective-ModificationStamp">
      <value order="0">2018-07-17T09:08:37Z</value>
    </field>
    <field name="Objective-Owner">
      <value order="0">Robinson, Paul (ESNR-Planning)</value>
    </field>
    <field name="Objective-Path">
      <value order="0">Objective Global Folder:Business File Plan:Economy, Skills &amp; Natural Resources (ESNR):Economy, Skills &amp; Natural Resources (ESNR) - Economic Infrastructure - Planning:1 - Save:Planning Policy:Housing:General Briefing:Housing - Guidance &amp; Reference - 2011-2016:Housing delivery 'Call for Evidence' Consultation - July 2018</value>
    </field>
    <field name="Objective-Parent">
      <value order="0">Housing delivery 'Call for Evidence' Consultation - July 2018</value>
    </field>
    <field name="Objective-State">
      <value order="0">Published</value>
    </field>
    <field name="Objective-VersionId">
      <value order="0">vA45762833</value>
    </field>
    <field name="Objective-Version">
      <value order="0">3.0</value>
    </field>
    <field name="Objective-VersionNumber">
      <value order="0">9</value>
    </field>
    <field name="Objective-VersionComment">
      <value order="0"/>
    </field>
    <field name="Objective-FileNumber">
      <value order="0">qA903875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F4C01A4-02A0-4B20-BF92-74A9E17D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James Davies</cp:lastModifiedBy>
  <cp:revision>17</cp:revision>
  <cp:lastPrinted>2018-10-10T11:15:00Z</cp:lastPrinted>
  <dcterms:created xsi:type="dcterms:W3CDTF">2018-06-21T10:25:00Z</dcterms:created>
  <dcterms:modified xsi:type="dcterms:W3CDTF">2018-10-10T12:09:00Z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A22768523</vt:lpwstr>
  </property>
  <property fmtid="{D5CDD505-2E9C-101B-9397-08002B2CF9AE}" pid="4" name="Objective-Title">
    <vt:lpwstr>Housing delivery call for evidence - Consultation Response Form - English - TCP</vt:lpwstr>
  </property>
  <property fmtid="{D5CDD505-2E9C-101B-9397-08002B2CF9AE}" pid="5" name="Objective-Comment">
    <vt:lpwstr/>
  </property>
  <property fmtid="{D5CDD505-2E9C-101B-9397-08002B2CF9AE}" pid="6" name="Objective-CreationStamp">
    <vt:filetime>2018-06-21T10:25:47Z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2018-07-17T09:08:37Z</vt:filetime>
  </property>
  <property fmtid="{D5CDD505-2E9C-101B-9397-08002B2CF9AE}" pid="10" name="Objective-ModificationStamp">
    <vt:filetime>2018-07-17T09:08:37Z</vt:filetime>
  </property>
  <property fmtid="{D5CDD505-2E9C-101B-9397-08002B2CF9AE}" pid="11" name="Objective-Owner">
    <vt:lpwstr>Robinson, Paul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Policy:Housing:General Briefing:Housing - Guidance &amp; Reference - 2011-2</vt:lpwstr>
  </property>
  <property fmtid="{D5CDD505-2E9C-101B-9397-08002B2CF9AE}" pid="13" name="Objective-Parent">
    <vt:lpwstr>Housing delivery 'Call for Evidence' Consultation - July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qA903875</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vA45762833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